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41" w:rsidRPr="00646641" w:rsidRDefault="00646641" w:rsidP="00A30806">
      <w:pPr>
        <w:widowControl/>
        <w:shd w:val="clear" w:color="auto" w:fill="FFFFFF"/>
        <w:spacing w:line="480" w:lineRule="atLeast"/>
        <w:jc w:val="center"/>
        <w:rPr>
          <w:rFonts w:ascii="Helvetica" w:eastAsia="宋体" w:hAnsi="Helvetica" w:cs="Helvetica"/>
          <w:b/>
          <w:color w:val="FF0000"/>
          <w:kern w:val="0"/>
          <w:sz w:val="84"/>
          <w:szCs w:val="84"/>
        </w:rPr>
      </w:pPr>
      <w:r w:rsidRPr="00646641">
        <w:rPr>
          <w:rFonts w:ascii="Helvetica" w:eastAsia="宋体" w:hAnsi="Helvetica" w:cs="Helvetica"/>
          <w:b/>
          <w:color w:val="FF0000"/>
          <w:kern w:val="0"/>
          <w:sz w:val="84"/>
          <w:szCs w:val="84"/>
        </w:rPr>
        <w:t>教育部文件</w:t>
      </w:r>
    </w:p>
    <w:p w:rsidR="00646641" w:rsidRDefault="00646641" w:rsidP="00A30806">
      <w:pPr>
        <w:widowControl/>
        <w:shd w:val="clear" w:color="auto" w:fill="FFFFFF"/>
        <w:spacing w:line="480" w:lineRule="atLeast"/>
        <w:jc w:val="center"/>
        <w:rPr>
          <w:rFonts w:ascii="Helvetica" w:eastAsia="宋体" w:hAnsi="Helvetica" w:cs="Helvetica"/>
          <w:color w:val="3E3E3E"/>
          <w:kern w:val="0"/>
          <w:sz w:val="24"/>
          <w:szCs w:val="24"/>
        </w:rPr>
      </w:pPr>
      <w:r>
        <w:rPr>
          <w:rFonts w:ascii="Helvetica" w:eastAsia="宋体" w:hAnsi="Helvetica" w:cs="Helvetica"/>
          <w:color w:val="3E3E3E"/>
          <w:kern w:val="0"/>
          <w:sz w:val="24"/>
          <w:szCs w:val="24"/>
        </w:rPr>
        <w:t>教职成</w:t>
      </w:r>
      <w:r>
        <w:rPr>
          <w:rFonts w:ascii="Helvetica" w:eastAsia="宋体" w:hAnsi="Helvetica" w:cs="Helvetica" w:hint="eastAsia"/>
          <w:color w:val="3E3E3E"/>
          <w:kern w:val="0"/>
          <w:sz w:val="24"/>
          <w:szCs w:val="24"/>
        </w:rPr>
        <w:t>（</w:t>
      </w:r>
      <w:r>
        <w:rPr>
          <w:rFonts w:ascii="Helvetica" w:eastAsia="宋体" w:hAnsi="Helvetica" w:cs="Helvetica" w:hint="eastAsia"/>
          <w:color w:val="3E3E3E"/>
          <w:kern w:val="0"/>
          <w:sz w:val="24"/>
          <w:szCs w:val="24"/>
        </w:rPr>
        <w:t>2005</w:t>
      </w:r>
      <w:r>
        <w:rPr>
          <w:rFonts w:ascii="Helvetica" w:eastAsia="宋体" w:hAnsi="Helvetica" w:cs="Helvetica" w:hint="eastAsia"/>
          <w:color w:val="3E3E3E"/>
          <w:kern w:val="0"/>
          <w:sz w:val="24"/>
          <w:szCs w:val="24"/>
        </w:rPr>
        <w:t>）</w:t>
      </w:r>
      <w:r>
        <w:rPr>
          <w:rFonts w:ascii="Helvetica" w:eastAsia="宋体" w:hAnsi="Helvetica" w:cs="Helvetica" w:hint="eastAsia"/>
          <w:color w:val="3E3E3E"/>
          <w:kern w:val="0"/>
          <w:sz w:val="24"/>
          <w:szCs w:val="24"/>
        </w:rPr>
        <w:t>7</w:t>
      </w:r>
      <w:r>
        <w:rPr>
          <w:rFonts w:ascii="Helvetica" w:eastAsia="宋体" w:hAnsi="Helvetica" w:cs="Helvetica" w:hint="eastAsia"/>
          <w:color w:val="3E3E3E"/>
          <w:kern w:val="0"/>
          <w:sz w:val="24"/>
          <w:szCs w:val="24"/>
        </w:rPr>
        <w:t>号</w:t>
      </w:r>
    </w:p>
    <w:p w:rsidR="00646641" w:rsidRDefault="00646641" w:rsidP="00A30806">
      <w:pPr>
        <w:widowControl/>
        <w:shd w:val="clear" w:color="auto" w:fill="FFFFFF"/>
        <w:spacing w:line="480" w:lineRule="atLeast"/>
        <w:jc w:val="center"/>
        <w:rPr>
          <w:rFonts w:ascii="Helvetica" w:eastAsia="宋体" w:hAnsi="Helvetica" w:cs="Helvetica"/>
          <w:b/>
          <w:color w:val="3E3E3E"/>
          <w:kern w:val="0"/>
          <w:sz w:val="36"/>
          <w:szCs w:val="36"/>
        </w:rPr>
      </w:pPr>
    </w:p>
    <w:p w:rsidR="004F3FF9" w:rsidRPr="004F3FF9" w:rsidRDefault="004F3FF9" w:rsidP="00A30806">
      <w:pPr>
        <w:widowControl/>
        <w:shd w:val="clear" w:color="auto" w:fill="FFFFFF"/>
        <w:spacing w:line="480" w:lineRule="atLeast"/>
        <w:jc w:val="center"/>
        <w:rPr>
          <w:rFonts w:ascii="Helvetica" w:eastAsia="宋体" w:hAnsi="Helvetica" w:cs="Helvetica"/>
          <w:b/>
          <w:color w:val="3E3E3E"/>
          <w:kern w:val="0"/>
          <w:sz w:val="36"/>
          <w:szCs w:val="36"/>
        </w:rPr>
      </w:pPr>
      <w:r w:rsidRPr="004F3FF9">
        <w:rPr>
          <w:rFonts w:ascii="Helvetica" w:eastAsia="宋体" w:hAnsi="Helvetica" w:cs="Helvetica"/>
          <w:b/>
          <w:color w:val="3E3E3E"/>
          <w:kern w:val="0"/>
          <w:sz w:val="36"/>
          <w:szCs w:val="36"/>
        </w:rPr>
        <w:t>教育部关于印发《职业院校管理水平提升</w:t>
      </w:r>
    </w:p>
    <w:p w:rsidR="004F3FF9" w:rsidRPr="00A30806" w:rsidRDefault="004F3FF9" w:rsidP="00A30806">
      <w:pPr>
        <w:widowControl/>
        <w:shd w:val="clear" w:color="auto" w:fill="FFFFFF"/>
        <w:spacing w:line="480" w:lineRule="atLeast"/>
        <w:jc w:val="center"/>
        <w:rPr>
          <w:rFonts w:ascii="Helvetica" w:eastAsia="宋体" w:hAnsi="Helvetica" w:cs="Helvetica"/>
          <w:b/>
          <w:color w:val="3E3E3E"/>
          <w:kern w:val="0"/>
          <w:sz w:val="36"/>
          <w:szCs w:val="36"/>
        </w:rPr>
      </w:pPr>
      <w:r w:rsidRPr="004F3FF9">
        <w:rPr>
          <w:rFonts w:ascii="Helvetica" w:eastAsia="宋体" w:hAnsi="Helvetica" w:cs="Helvetica"/>
          <w:b/>
          <w:color w:val="3E3E3E"/>
          <w:kern w:val="0"/>
          <w:sz w:val="36"/>
          <w:szCs w:val="36"/>
        </w:rPr>
        <w:t>行动计划（</w:t>
      </w:r>
      <w:r w:rsidRPr="004F3FF9">
        <w:rPr>
          <w:rFonts w:ascii="Helvetica" w:eastAsia="宋体" w:hAnsi="Helvetica" w:cs="Helvetica"/>
          <w:b/>
          <w:color w:val="3E3E3E"/>
          <w:kern w:val="0"/>
          <w:sz w:val="36"/>
          <w:szCs w:val="36"/>
        </w:rPr>
        <w:t>2015-2018</w:t>
      </w:r>
      <w:r w:rsidRPr="004F3FF9">
        <w:rPr>
          <w:rFonts w:ascii="Helvetica" w:eastAsia="宋体" w:hAnsi="Helvetica" w:cs="Helvetica"/>
          <w:b/>
          <w:color w:val="3E3E3E"/>
          <w:kern w:val="0"/>
          <w:sz w:val="36"/>
          <w:szCs w:val="36"/>
        </w:rPr>
        <w:t>年）》的通知</w:t>
      </w:r>
    </w:p>
    <w:p w:rsidR="004F3FF9" w:rsidRPr="004F3FF9" w:rsidRDefault="004F3FF9" w:rsidP="00A30806">
      <w:pPr>
        <w:widowControl/>
        <w:shd w:val="clear" w:color="auto" w:fill="FFFFFF"/>
        <w:spacing w:line="480" w:lineRule="atLeast"/>
        <w:jc w:val="center"/>
        <w:rPr>
          <w:rFonts w:ascii="Helvetica" w:eastAsia="宋体" w:hAnsi="Helvetica" w:cs="Helvetica"/>
          <w:color w:val="3E3E3E"/>
          <w:kern w:val="0"/>
          <w:sz w:val="24"/>
          <w:szCs w:val="24"/>
        </w:rPr>
      </w:pP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各省、自治区、直辖市教育厅（教委），计划单列市教育局，新疆生产建设兵团教育局</w:t>
      </w:r>
      <w:r w:rsidR="0051206E">
        <w:rPr>
          <w:rFonts w:ascii="Helvetica" w:eastAsia="宋体" w:hAnsi="Helvetica" w:cs="Helvetica" w:hint="eastAsia"/>
          <w:color w:val="3E3E3E"/>
          <w:kern w:val="0"/>
          <w:sz w:val="24"/>
          <w:szCs w:val="24"/>
        </w:rPr>
        <w:t>：</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为深入贯彻落实全国职业教育工作会议精神和全国人大常委会职业教育法执法检查有关要求，推动职业院校以强化教育教学管理为重点，全面贯彻落实国家有关政策、制度、标准和要求，不断提高管理工作规范化、科学化、精细化水平，加快实现学校治理能力现代化，现将《职业院校管理水平提升行动计划（</w:t>
      </w:r>
      <w:r w:rsidRPr="004F3FF9">
        <w:rPr>
          <w:rFonts w:ascii="Helvetica" w:eastAsia="宋体" w:hAnsi="Helvetica" w:cs="Helvetica"/>
          <w:color w:val="3E3E3E"/>
          <w:kern w:val="0"/>
          <w:sz w:val="24"/>
          <w:szCs w:val="24"/>
        </w:rPr>
        <w:t>2015-2018</w:t>
      </w:r>
      <w:r w:rsidRPr="004F3FF9">
        <w:rPr>
          <w:rFonts w:ascii="Helvetica" w:eastAsia="宋体" w:hAnsi="Helvetica" w:cs="Helvetica"/>
          <w:color w:val="3E3E3E"/>
          <w:kern w:val="0"/>
          <w:sz w:val="24"/>
          <w:szCs w:val="24"/>
        </w:rPr>
        <w:t>年）》印发给你们，请认真贯彻执行。</w:t>
      </w:r>
    </w:p>
    <w:p w:rsidR="004F3FF9" w:rsidRPr="004F3FF9" w:rsidRDefault="004F3FF9" w:rsidP="00A30806">
      <w:pPr>
        <w:widowControl/>
        <w:shd w:val="clear" w:color="auto" w:fill="FFFFFF"/>
        <w:spacing w:line="460" w:lineRule="atLeast"/>
        <w:jc w:val="righ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教育部</w:t>
      </w:r>
    </w:p>
    <w:p w:rsidR="004F3FF9" w:rsidRPr="004F3FF9" w:rsidRDefault="004F3FF9" w:rsidP="00A30806">
      <w:pPr>
        <w:widowControl/>
        <w:shd w:val="clear" w:color="auto" w:fill="FFFFFF"/>
        <w:spacing w:line="460" w:lineRule="atLeast"/>
        <w:jc w:val="righ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2015</w:t>
      </w:r>
      <w:r w:rsidRPr="004F3FF9">
        <w:rPr>
          <w:rFonts w:ascii="Helvetica" w:eastAsia="宋体" w:hAnsi="Helvetica" w:cs="Helvetica"/>
          <w:color w:val="3E3E3E"/>
          <w:kern w:val="0"/>
          <w:sz w:val="24"/>
          <w:szCs w:val="24"/>
        </w:rPr>
        <w:t>年</w:t>
      </w:r>
      <w:r w:rsidRPr="004F3FF9">
        <w:rPr>
          <w:rFonts w:ascii="Helvetica" w:eastAsia="宋体" w:hAnsi="Helvetica" w:cs="Helvetica"/>
          <w:color w:val="3E3E3E"/>
          <w:kern w:val="0"/>
          <w:sz w:val="24"/>
          <w:szCs w:val="24"/>
        </w:rPr>
        <w:t>8</w:t>
      </w:r>
      <w:r w:rsidRPr="004F3FF9">
        <w:rPr>
          <w:rFonts w:ascii="Helvetica" w:eastAsia="宋体" w:hAnsi="Helvetica" w:cs="Helvetica"/>
          <w:color w:val="3E3E3E"/>
          <w:kern w:val="0"/>
          <w:sz w:val="24"/>
          <w:szCs w:val="24"/>
        </w:rPr>
        <w:t>月</w:t>
      </w:r>
      <w:r w:rsidRPr="004F3FF9">
        <w:rPr>
          <w:rFonts w:ascii="Helvetica" w:eastAsia="宋体" w:hAnsi="Helvetica" w:cs="Helvetica"/>
          <w:color w:val="3E3E3E"/>
          <w:kern w:val="0"/>
          <w:sz w:val="24"/>
          <w:szCs w:val="24"/>
        </w:rPr>
        <w:t>28</w:t>
      </w:r>
      <w:r w:rsidRPr="004F3FF9">
        <w:rPr>
          <w:rFonts w:ascii="Helvetica" w:eastAsia="宋体" w:hAnsi="Helvetica" w:cs="Helvetica"/>
          <w:color w:val="3E3E3E"/>
          <w:kern w:val="0"/>
          <w:sz w:val="24"/>
          <w:szCs w:val="24"/>
        </w:rPr>
        <w:t>日</w:t>
      </w:r>
    </w:p>
    <w:p w:rsidR="004F3FF9" w:rsidRPr="004F3FF9" w:rsidRDefault="004F3FF9" w:rsidP="00A30806">
      <w:pPr>
        <w:widowControl/>
        <w:shd w:val="clear" w:color="auto" w:fill="FFFFFF"/>
        <w:spacing w:line="460" w:lineRule="atLeast"/>
        <w:jc w:val="center"/>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职业院校管理水平提升行动计划</w:t>
      </w:r>
    </w:p>
    <w:p w:rsidR="004F3FF9" w:rsidRPr="004F3FF9" w:rsidRDefault="004F3FF9" w:rsidP="00A30806">
      <w:pPr>
        <w:widowControl/>
        <w:shd w:val="clear" w:color="auto" w:fill="FFFFFF"/>
        <w:spacing w:line="460" w:lineRule="atLeast"/>
        <w:jc w:val="center"/>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(2015-2018</w:t>
      </w:r>
      <w:r w:rsidRPr="004F3FF9">
        <w:rPr>
          <w:rFonts w:ascii="Helvetica" w:eastAsia="宋体" w:hAnsi="Helvetica" w:cs="Helvetica"/>
          <w:color w:val="3E3E3E"/>
          <w:kern w:val="0"/>
          <w:sz w:val="24"/>
          <w:szCs w:val="24"/>
        </w:rPr>
        <w:t>年</w:t>
      </w:r>
      <w:r w:rsidRPr="004F3FF9">
        <w:rPr>
          <w:rFonts w:ascii="Helvetica" w:eastAsia="宋体" w:hAnsi="Helvetica" w:cs="Helvetica"/>
          <w:color w:val="3E3E3E"/>
          <w:kern w:val="0"/>
          <w:sz w:val="24"/>
          <w:szCs w:val="24"/>
        </w:rPr>
        <w:t>)</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提升管理水平是促进职业院校内涵发展的现实要求，是提高人才培养质量的重要保障。近年来，职业院校依法治校意识日益增强，管理制度不断完善，管理工作得到普遍重视。但是，与加快推进依法治教和治理能力现代化的新要求相比，职业院校在管理理念、能力和信息化水平等方面仍有差距。为全面贯彻落实《国务院关于加快发展现代职业教育的决定》和全国人大常委会职业教育法执法检查有关要求，落实国家有关职业教育各项决策部署，发挥管理工作对职业教育改革发展的推动、引领和保障作用，不断提高职业院校管理规范化、精细化、科学化水平，自</w:t>
      </w:r>
      <w:r w:rsidRPr="004F3FF9">
        <w:rPr>
          <w:rFonts w:ascii="Helvetica" w:eastAsia="宋体" w:hAnsi="Helvetica" w:cs="Helvetica"/>
          <w:color w:val="3E3E3E"/>
          <w:kern w:val="0"/>
          <w:sz w:val="24"/>
          <w:szCs w:val="24"/>
        </w:rPr>
        <w:t>2015</w:t>
      </w:r>
      <w:r w:rsidRPr="004F3FF9">
        <w:rPr>
          <w:rFonts w:ascii="Helvetica" w:eastAsia="宋体" w:hAnsi="Helvetica" w:cs="Helvetica"/>
          <w:color w:val="3E3E3E"/>
          <w:kern w:val="0"/>
          <w:sz w:val="24"/>
          <w:szCs w:val="24"/>
        </w:rPr>
        <w:t>年秋季学期起，倡导践行</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改变从今天开始</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，实施职业院校管理水平提升行动计划</w:t>
      </w:r>
      <w:r w:rsidRPr="004F3FF9">
        <w:rPr>
          <w:rFonts w:ascii="Helvetica" w:eastAsia="宋体" w:hAnsi="Helvetica" w:cs="Helvetica"/>
          <w:color w:val="3E3E3E"/>
          <w:kern w:val="0"/>
          <w:sz w:val="24"/>
          <w:szCs w:val="24"/>
        </w:rPr>
        <w:t>(2015-2018</w:t>
      </w:r>
      <w:r w:rsidRPr="004F3FF9">
        <w:rPr>
          <w:rFonts w:ascii="Helvetica" w:eastAsia="宋体" w:hAnsi="Helvetica" w:cs="Helvetica"/>
          <w:color w:val="3E3E3E"/>
          <w:kern w:val="0"/>
          <w:sz w:val="24"/>
          <w:szCs w:val="24"/>
        </w:rPr>
        <w:t>年</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（以下简称行动计划）。</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一、总体要求</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lastRenderedPageBreak/>
        <w:t xml:space="preserve">　　（一）指导思想</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全面贯彻党的十八大和十八届三中、四中全会精神，深入贯彻习近平总书记系列重要讲话精神，落细落小落实《国务院关于加快发展现代职业教育的决定》，坚持依法治校，建立和完善现代职业学校制度，以强化教育教学管理为重点，进一步更新管理理念、完善制度标准、创新运行机制、改进方式方法、提升管理水平，为基本实现职业院校治理能力现代化奠定坚实基础。</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（二）工作目标</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经过三年努力，职业院校以人为本管理理念更加巩固，现代学校制度逐步完善，办学行为更加规范，办学活力显著增强，办学质量不断提高，依法治校、自主办学、民主管理的运行机制基本建立，多元参与的职业院校质量评价与保障体系不断完善，职业院校自身吸引力、核心竞争力和社会美誉度明显提高。</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政策法规落实到位。国家职业教育有关法规、制度及标准得到落实，质量意识普遍增强，办学行为更加规范，学校常规管理</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特别是学生、课程教学、招生、学籍、实习、安全等重点领域的管理有效加强。</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管理能力显著提升。学校章程普遍建立，治理结构不断完善，管理队伍专业化水平大幅提升，信息化管理手段广泛应用，管理工作的薄弱环节全面改善，办学活力显著增强，管理规范、特色鲜明、办学质量高、社会声誉好的典型学校不断涌现。</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质量保障机制更加完善。职业院校管理状态</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大数据</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初步建成，学校人才培养工作的自我诊断、反馈、改进机制基本形成，政府、行业、企业及社会等多方参与学校评价的机制更加健全，职业院校教育质量年度报告制度逐步完善。</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（三）基本原则</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规范办学，激发活力。确立管理工作在职业院校办学中的基础性地位，落实国家职业教育有关法规、制度及标准，全面规范办学行为，不断激发办学活力，切实提高职业院校依法办学的能力和水平。</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问题导向，标本兼治。以教育教学管理为重点，针对学校常规管理中的薄弱环节和突出问题，立知、立行、立改，对症施治、标本兼治，全面提高职业院校管理工作的有效性。</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lastRenderedPageBreak/>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活动贯穿，全面行动。设计和开展灵活多样的活动，以活动促管理、以活动促落实，推动职教系统全员参与。充分调动社会各方力量，积极参与行动计划的实施，形成推动职业院校管理水平提升的良好氛围和工作合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科研引领，注重长效。结合不同区域实际和中高职特点，加强职业院校管理的制度、标准、评价等理论与实践研究，引导和帮助职业院校建立自我诊断、自我改进和自我完善的长效机制。</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二、重点任务</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（一）突出问题专项治理行动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职业院校要对照国家职业教育有关法规、制度及标准，围绕以下重点领域，结合学校实际，全面查摆管理工作中存在的突出问题，有针对性地开展专项治理系列活动。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诚信招生承诺活动。加强招生政策和工作纪律的宣传教育，面向社会公开承诺诚信招生、阳光招生，规范招生简章，学校主要领导和招生工作相关人员签订责任书，不以虚假宣传和欺骗手段进行招生，杜绝有偿招生等违规违纪现象。</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学籍信息核查活动。全面落实学籍电子注册和管理制度，严格执行《高等学校学生学籍学历电子注册办法》《中等职业学历教育学生学籍电子注册办法》。充分利用学生管理信息系统，加强学籍电子注册、学籍异动、学生信息变更等环节的管理，注重电子信息的核查，确保学籍电子档案数据准确、更新及时、程序规范，杜绝虚假学籍、重复注册等现象。</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教学标准落地活动。按照《教育部关于深化职业教育教学改革全面提高人才培养质量的若干意见》等文件要求，完善学校专业人才培养方案，强化教学过程管理，组织开展教学计划执行情况检查，注重教学效果的反馈与改进，杜绝课程开设与教学实施随意变动等现象。</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实习管理规范活动。严格执行学生实习管理相关规定，强化以育人为目标的实习过程管理和考核评价，完善学生实习责任保险、信息通报等安全制度，维护学生合法权益，改变学生顶岗实习的岗位与其所学专业面向的岗位群不一致等现象。</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平安校园创建活动。加强学校安全管理，落实</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一岗双责</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责任制，建立健全安全应急处置机制和人防、物防、技防</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三防一体</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的安全防范体系，消除水电、消防、餐饮、交通和实训等方面的安全隐患。</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lastRenderedPageBreak/>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财务管理规范活动。严格执行国家财经法律法规，建立健全学校财务管理制度；增强绩效意识，夯实会计基础工作；严格预算管理，强化预算约束；建立完善学校内部控制机制，强化财务风险防范意识；加强学生资助等专项资金的过程控制，规范会计行为，防止和杜绝虚报虚列、违规使用资金等现象的发生。</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各级教育行政部门根据实际，针对重点领域和共性问题，加强对职业院校开展专项治理活动的调研、指导和检查，督促学校落实专项治理行动的各项要求，并建立长效机制。</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（二）管理制度标准建设行动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职业院校要加快学校章程建设步伐，建立健全体现职业院校办学特点的内部管理制度、标准和运行机制，不断完善现代职业学校制度。</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加快学校章程建设。依法制定和完善具有各自特色的学校章程，中职学校加快推进章程建设工作，高职院校完成章程制定工作，按要求履行审批程序并实施。以章程建设为契机，加大行业、企业和社区等参与学校管理的力度，不断完善学校治理结构和决策机制。</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完善管理制度标准。以学校章程为基础，理顺和完善教学、学生、后勤、安全、科研和人事、财务、资产等方面的管理制度、标准，建立健全相应的工作规程，形成规范、科学的内部管理制度体系。</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强化制度标准落实。加强对管理制度、标准的宣传和学习，明确落实管理制度、标准的奖惩机制，强化管理制度、标准执行情况的监督、检查，确保落实到位。</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各级教育行政部门要为职业院校制定章程搭建交流、咨询和服务平台，推动形成一校一章程的格局；组织开展职业院校管理指导手册研制工作，为完善学校管理制度提供科学指导。</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（三）管理队伍能力建设行动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职业院校要适应发展需求，遵循管理人员成长规律，以提升岗位胜任力为重点，制订并实施学校管理队伍能力提升计划，不断提高管理人员的专业化水平。</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明确能力要求。按照国家对职业院校管理人员的专业标准和工作要求，围绕学校发展、育人文化、课程教学、教师成长、内部管理等方面，结合学校实际和不同管理岗位特点，细化院校长、中层管理人员和基层管理人员等能力要求，引导管理人员不断提升岗位胜任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lastRenderedPageBreak/>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加强培养培训。以需求为导向，以能力要求为依据，科学制订各类管理人员培养培训方案，完成一轮管理人员全员培训；搭建学习平台，建立分层次、多形式的培训体系，做到日常培训与专题培训相结合，在职学习与脱产进修相结合，理论学习与经验交流相结合，不断提升管理人员的敬业精神和业务能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强化激励保障。坚持民主、公开、竞争、择优的原则，选拔聘用管理人员，拓展管理人员的发展空间和上升通道，形成有利于优秀管理人才脱颖而出的机制；积极推进以岗位能力要求为依据的目标考核，把考核结果与干部任免、培养培训、收入分配等结合起来，强化管理人员的职业意识，激发管理人员的内在动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要把职业院校管理骨干培养培训纳入国家和省级校长能力提升、教师素质提高等培训计划统筹实施，组织开展管理经验交流活动，搭建管理专题网络学习平台，为职业院校管理队伍水平提升创造条件。</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四</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管理信息化水平提升行动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职业院校要以落实《职业院校数字校园建设规范》为重点，加快信息化技术系统建设，建立健全信息化管理机制，增强信息化管理素养和能力，促进信息技术与教育教学的深度融合。</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强化管理信息化整体设计。制订和完善数字校园建设规划，做好管理信息系统整体设计，建设数据集中、系统集成的应用环境，实现教学、学生、后勤、安全、科研等各类数据管理的信息化和数据交换的规范化。</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健全管理信息化运行机制。建立基于信息化的管理制度，成立专门机构，确定专职人员，建立健全管理信息系统应用和技术支持服务体系，保证系统数据的全面、及时、准确和安全。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提升管理信息化应用能力。强化管理人员信息化意识和应用能力培养，提高运用信息化手段对各类数据进行记录、更新、采集、分析，以及诊断和改进学校管理的能力。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要加强统筹协调，加大政策支持和经费投入力度，加快推进《职业院校数字校园建设规范》的贯彻实施，组织开展信息化管理创新经验交流与现场观摩等活动，促进职业院校管理信息化水平不断提高。</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（五）学校文化育人创新行动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lastRenderedPageBreak/>
        <w:t xml:space="preserve">　　职业院校要坚持立德树人，积极培育和践行社会主义核心价值观，弘扬</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劳动光荣、技能宝贵、创造伟大</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的时代风尚，营造以文化人的氛围，从学校理念、校园环境、行为规范、管理制度等方面对学校文化进行系统设计，充分发挥学校文化育人的整体功能。</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凝练学校核心文化。总结体现现代职教思想、职业特质、学校特色、可传承发展的校训和校风、教风、学风等核心文化，形成独特的文化标识，并通过板报、橱窗、走廊、校史陈列室、广播电视和新媒体等平台进行传播，发挥其在学校管理中的熏陶、引领和激励作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精选优秀文化进校园。弘扬中华优秀传统文化和现代工业文明，加强技术技能文化积累，开展劳模、技术能手、优秀毕业生等进学校活动，促进产业文化和优秀企业文化进校园、进课堂，着力培养学生的职业理想与职业精神。</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培养学生自主发展能力。创新德育实现形式，充分利用开学典礼和毕业典礼、入党入团、升国旗等仪式和重大纪念日、民族传统节日等时点，将社会主义核心价值观内化于心、外化于行。广泛组织丰富多彩的学生社团活动，深入开展学生文明礼仪教育、行为规范教育以及珍爱生命、防范风险教育，培养学生的社会责任感和自信心，促进守规、节俭、整洁、环保等优良习惯的养成，提升自我教育、自我管理、自我服务的能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各级教育行政部门要联合社会各方力量，因地制宜组织开展校训和校风、教风、学风及文化标识、优秀学生社团等遴选展示活动，持续组织</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文明风采</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竞赛等德育活动，推动职业院校文化育人工作创新，不断提高职业院校文化软实力。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（六）质量保证体系完善行动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职业院校要适应技术技能人才培养需要，不断完善产教融合、校企合作的人才培养机制，建立健全全员参与、全程控制、全面管理的质量保证体系。</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建立教育教学质量监控体系。确立全面质量管理理念，把学习者职业道德、技术技能水平和就业质量作为人才培养质量评价的重要标准，强化人才培养全程的质量监控，完善由学校、行业、企业和社会机构等共同参与的质量评价、反馈与改进机制，全面保证人才培养质量。</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完善职业教育质量年度报告制度。加强职业院校人才培养状态数据采集与分析，充分发挥数据平台在质量监控中的重要作用，进一步完善高职院校质量年度报告制度，逐步提高年度报告质量和水平；建立中职学校质量年度报告制度，</w:t>
      </w:r>
      <w:r w:rsidRPr="004F3FF9">
        <w:rPr>
          <w:rFonts w:ascii="Helvetica" w:eastAsia="宋体" w:hAnsi="Helvetica" w:cs="Helvetica"/>
          <w:color w:val="3E3E3E"/>
          <w:kern w:val="0"/>
          <w:sz w:val="24"/>
          <w:szCs w:val="24"/>
        </w:rPr>
        <w:lastRenderedPageBreak/>
        <w:t>国家中职示范（重点）学校自</w:t>
      </w:r>
      <w:r w:rsidRPr="004F3FF9">
        <w:rPr>
          <w:rFonts w:ascii="Helvetica" w:eastAsia="宋体" w:hAnsi="Helvetica" w:cs="Helvetica"/>
          <w:color w:val="3E3E3E"/>
          <w:kern w:val="0"/>
          <w:sz w:val="24"/>
          <w:szCs w:val="24"/>
        </w:rPr>
        <w:t>2016</w:t>
      </w:r>
      <w:r w:rsidRPr="004F3FF9">
        <w:rPr>
          <w:rFonts w:ascii="Helvetica" w:eastAsia="宋体" w:hAnsi="Helvetica" w:cs="Helvetica"/>
          <w:color w:val="3E3E3E"/>
          <w:kern w:val="0"/>
          <w:sz w:val="24"/>
          <w:szCs w:val="24"/>
        </w:rPr>
        <w:t>年起、其他中职学校自</w:t>
      </w:r>
      <w:r w:rsidRPr="004F3FF9">
        <w:rPr>
          <w:rFonts w:ascii="Helvetica" w:eastAsia="宋体" w:hAnsi="Helvetica" w:cs="Helvetica"/>
          <w:color w:val="3E3E3E"/>
          <w:kern w:val="0"/>
          <w:sz w:val="24"/>
          <w:szCs w:val="24"/>
        </w:rPr>
        <w:t>2017</w:t>
      </w:r>
      <w:r w:rsidRPr="004F3FF9">
        <w:rPr>
          <w:rFonts w:ascii="Helvetica" w:eastAsia="宋体" w:hAnsi="Helvetica" w:cs="Helvetica"/>
          <w:color w:val="3E3E3E"/>
          <w:kern w:val="0"/>
          <w:sz w:val="24"/>
          <w:szCs w:val="24"/>
        </w:rPr>
        <w:t>年起，每年发布质量年度报告。</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地教育行政部门要加大对本地区职业教育质量统筹监管的力度，建立和完善质量预警机制。省级教育行政部门要加强对本地区职业院校人才培养状态数据的审核，编制并发布省级职业教育质量年度报告。教育部定期组织质量年报的合规性审查，并将结果向社会公布。</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三、保障措施</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（一）加强组织领导</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教育行政部门是组织实施行动计划的责任主体。教育部负责行动计划的总体设计、全面部署和监督指导，掌握重点任务推进节奏（重点任务分工及进度安排表见附件</w:t>
      </w:r>
      <w:r w:rsidRPr="004F3FF9">
        <w:rPr>
          <w:rFonts w:ascii="Helvetica" w:eastAsia="宋体" w:hAnsi="Helvetica" w:cs="Helvetica"/>
          <w:color w:val="3E3E3E"/>
          <w:kern w:val="0"/>
          <w:sz w:val="24"/>
          <w:szCs w:val="24"/>
        </w:rPr>
        <w:t>1</w:t>
      </w:r>
      <w:r w:rsidRPr="004F3FF9">
        <w:rPr>
          <w:rFonts w:ascii="Helvetica" w:eastAsia="宋体" w:hAnsi="Helvetica" w:cs="Helvetica"/>
          <w:color w:val="3E3E3E"/>
          <w:kern w:val="0"/>
          <w:sz w:val="24"/>
          <w:szCs w:val="24"/>
        </w:rPr>
        <w:t>）；省级教育行政部门要结合本地实际，研究制订行动计划实施方案并细化工作安排，将本地区行动计划实施方案报教育部备案，并加大统筹推进力度，加强对本行政区域各地市、县级教育行政部门组织实施行动计划和有关重点工作的检查指导。职业院校是具体落实行动计划的责任主体，根据行动计划整体部署，并结合学校管理工作实际，对照《职业院校管理工作主要参考点》（见附件</w:t>
      </w:r>
      <w:r w:rsidRPr="004F3FF9">
        <w:rPr>
          <w:rFonts w:ascii="Helvetica" w:eastAsia="宋体" w:hAnsi="Helvetica" w:cs="Helvetica"/>
          <w:color w:val="3E3E3E"/>
          <w:kern w:val="0"/>
          <w:sz w:val="24"/>
          <w:szCs w:val="24"/>
        </w:rPr>
        <w:t>2</w:t>
      </w:r>
      <w:r w:rsidRPr="004F3FF9">
        <w:rPr>
          <w:rFonts w:ascii="Helvetica" w:eastAsia="宋体" w:hAnsi="Helvetica" w:cs="Helvetica"/>
          <w:color w:val="3E3E3E"/>
          <w:kern w:val="0"/>
          <w:sz w:val="24"/>
          <w:szCs w:val="24"/>
        </w:rPr>
        <w:t>），制订工作方案和年度推进计划，建立工作机制，明确目标任务和路线图、时间表、责任人，确保行动计划有序开展、有效落实。</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（二）加强宣传发动</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各级教育行政部门和职业院校要全面开展宣传教育活动，分层次、多形式地开展行动计划以及国家职业教育有关政策法规和制度标准的宣传解读活动，领会精神实质，明确工作要求，营造舆论氛围；创新宣传载体和方式，充分发挥专题网站、新媒体和公共数据平台等的作用，实施微学习、微传播，在各自门户网站设立</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职业院校管理水平提升行动计划</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专栏，并通过专家辅导、专题研讨和微电影、动画宣传片等师生喜闻乐见的形式，使国家有关职业院校管理政策要求入脑、入心；组织发动新闻媒体、社会团体和科研机构等各方力量，参与行动计划的宣传，不断扩大行动计划的参与度和影响力，形成实施行动计划的工作合力。</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（三）加强督促检查</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行动计划是现代职业教育质量提升计划的重要内容，各地各院校管理水平和质量将作为资金分配的重要因素。各级教育行政部门要建立督查调研、情况通报、限期报告、跟踪问效等制度，完善行动计划落实情况督促检查工作机制；职业院</w:t>
      </w:r>
      <w:r w:rsidRPr="004F3FF9">
        <w:rPr>
          <w:rFonts w:ascii="Helvetica" w:eastAsia="宋体" w:hAnsi="Helvetica" w:cs="Helvetica"/>
          <w:color w:val="3E3E3E"/>
          <w:kern w:val="0"/>
          <w:sz w:val="24"/>
          <w:szCs w:val="24"/>
        </w:rPr>
        <w:lastRenderedPageBreak/>
        <w:t>校要创新工作方法，采取实地检查、随机抽查、群众评议和走访行业企业、社区、家庭等方式，充分利用信息化等手段，全面了解和掌握职业院校管理工作实效，发现典型并及时予以总结推广，发现问题并迅速进行督促整改。教育部建立行动计划实施进展情况简报、通报和重大问题限期整改报告制度，并视情况组织专项督查；委托第三方依据学校管理工作实效及实施行动计划取得的实绩，分类遴选全国职业院校管理</w:t>
      </w:r>
      <w:r w:rsidRPr="004F3FF9">
        <w:rPr>
          <w:rFonts w:ascii="Helvetica" w:eastAsia="宋体" w:hAnsi="Helvetica" w:cs="Helvetica"/>
          <w:color w:val="3E3E3E"/>
          <w:kern w:val="0"/>
          <w:sz w:val="24"/>
          <w:szCs w:val="24"/>
        </w:rPr>
        <w:t>500</w:t>
      </w:r>
      <w:r w:rsidRPr="004F3FF9">
        <w:rPr>
          <w:rFonts w:ascii="Helvetica" w:eastAsia="宋体" w:hAnsi="Helvetica" w:cs="Helvetica"/>
          <w:color w:val="3E3E3E"/>
          <w:kern w:val="0"/>
          <w:sz w:val="24"/>
          <w:szCs w:val="24"/>
        </w:rPr>
        <w:t>强，充分发挥其示范、引领、辐射作用，确保行动计划提出的各项目标任务落到实处。</w:t>
      </w:r>
    </w:p>
    <w:p w:rsidR="004F3FF9" w:rsidRPr="004F3FF9" w:rsidRDefault="004F3FF9" w:rsidP="00A30806">
      <w:pPr>
        <w:widowControl/>
        <w:shd w:val="clear" w:color="auto" w:fill="FFFFFF"/>
        <w:spacing w:line="460" w:lineRule="atLeast"/>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 xml:space="preserve">　　（四）加强指导服务</w:t>
      </w:r>
    </w:p>
    <w:p w:rsidR="004F3FF9" w:rsidRDefault="004F3FF9" w:rsidP="00A30806">
      <w:pPr>
        <w:widowControl/>
        <w:shd w:val="clear" w:color="auto" w:fill="FFFFFF"/>
        <w:spacing w:line="460" w:lineRule="atLeast"/>
        <w:ind w:firstLine="480"/>
        <w:jc w:val="left"/>
        <w:rPr>
          <w:rFonts w:ascii="Helvetica" w:eastAsia="宋体" w:hAnsi="Helvetica" w:cs="Helvetica"/>
          <w:color w:val="3E3E3E"/>
          <w:kern w:val="0"/>
          <w:sz w:val="24"/>
          <w:szCs w:val="24"/>
        </w:rPr>
      </w:pPr>
      <w:r w:rsidRPr="004F3FF9">
        <w:rPr>
          <w:rFonts w:ascii="Helvetica" w:eastAsia="宋体" w:hAnsi="Helvetica" w:cs="Helvetica"/>
          <w:color w:val="3E3E3E"/>
          <w:kern w:val="0"/>
          <w:sz w:val="24"/>
          <w:szCs w:val="24"/>
        </w:rPr>
        <w:t>各级教育行政部门要发挥科研在职业院校管理中的引领作用，加强职业院校管理专家队伍建设，组织开展相关理论与实践研究，跟踪行动计划的实施进展情况，并及时提供专业指导；按照不同管理主题，广泛征集和宣传职业院校优秀管理案例。教育部组织专业力量设计面向学校管理者、教师、学生以及行业企业人员等的问卷，开展大样本网络调查，形成全国职业院校管理状态</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大数据</w:t>
      </w:r>
      <w:r w:rsidRPr="004F3FF9">
        <w:rPr>
          <w:rFonts w:ascii="Helvetica" w:eastAsia="宋体" w:hAnsi="Helvetica" w:cs="Helvetica"/>
          <w:color w:val="3E3E3E"/>
          <w:kern w:val="0"/>
          <w:sz w:val="24"/>
          <w:szCs w:val="24"/>
        </w:rPr>
        <w:t>”</w:t>
      </w:r>
      <w:r w:rsidRPr="004F3FF9">
        <w:rPr>
          <w:rFonts w:ascii="Helvetica" w:eastAsia="宋体" w:hAnsi="Helvetica" w:cs="Helvetica"/>
          <w:color w:val="3E3E3E"/>
          <w:kern w:val="0"/>
          <w:sz w:val="24"/>
          <w:szCs w:val="24"/>
        </w:rPr>
        <w:t>及分析报告，为学校诊断、改进管理工作和教育行政部门宏观决策提供实证依据。</w:t>
      </w: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873D3C" w:rsidP="00A30806">
      <w:pPr>
        <w:widowControl/>
        <w:shd w:val="clear" w:color="auto" w:fill="FFFFFF"/>
        <w:spacing w:line="460" w:lineRule="atLeast"/>
        <w:ind w:firstLine="480"/>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t>附件</w:t>
      </w:r>
      <w:r>
        <w:rPr>
          <w:rFonts w:ascii="Helvetica" w:eastAsia="宋体" w:hAnsi="Helvetica" w:cs="Helvetica" w:hint="eastAsia"/>
          <w:color w:val="3E3E3E"/>
          <w:kern w:val="0"/>
          <w:sz w:val="24"/>
          <w:szCs w:val="24"/>
        </w:rPr>
        <w:t>1</w:t>
      </w:r>
      <w:r>
        <w:rPr>
          <w:rFonts w:ascii="Helvetica" w:eastAsia="宋体" w:hAnsi="Helvetica" w:cs="Helvetica" w:hint="eastAsia"/>
          <w:color w:val="3E3E3E"/>
          <w:kern w:val="0"/>
          <w:sz w:val="24"/>
          <w:szCs w:val="24"/>
        </w:rPr>
        <w:t>：</w:t>
      </w:r>
      <w:r w:rsidRPr="00873D3C">
        <w:rPr>
          <w:rFonts w:ascii="Helvetica" w:eastAsia="宋体" w:hAnsi="Helvetica" w:cs="Helvetica" w:hint="eastAsia"/>
          <w:color w:val="3E3E3E"/>
          <w:kern w:val="0"/>
          <w:sz w:val="24"/>
          <w:szCs w:val="24"/>
        </w:rPr>
        <w:t>重点任务分工及进度安排表</w:t>
      </w:r>
    </w:p>
    <w:p w:rsidR="00A30806" w:rsidRDefault="00873D3C" w:rsidP="00A30806">
      <w:pPr>
        <w:widowControl/>
        <w:shd w:val="clear" w:color="auto" w:fill="FFFFFF"/>
        <w:spacing w:line="460" w:lineRule="atLeast"/>
        <w:ind w:firstLine="480"/>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t>附件</w:t>
      </w:r>
      <w:r>
        <w:rPr>
          <w:rFonts w:ascii="Helvetica" w:eastAsia="宋体" w:hAnsi="Helvetica" w:cs="Helvetica" w:hint="eastAsia"/>
          <w:color w:val="3E3E3E"/>
          <w:kern w:val="0"/>
          <w:sz w:val="24"/>
          <w:szCs w:val="24"/>
        </w:rPr>
        <w:t>2</w:t>
      </w:r>
      <w:r>
        <w:rPr>
          <w:rFonts w:ascii="Helvetica" w:eastAsia="宋体" w:hAnsi="Helvetica" w:cs="Helvetica" w:hint="eastAsia"/>
          <w:color w:val="3E3E3E"/>
          <w:kern w:val="0"/>
          <w:sz w:val="24"/>
          <w:szCs w:val="24"/>
        </w:rPr>
        <w:t>：</w:t>
      </w:r>
      <w:r w:rsidRPr="00873D3C">
        <w:rPr>
          <w:rFonts w:ascii="Helvetica" w:eastAsia="宋体" w:hAnsi="Helvetica" w:cs="Helvetica" w:hint="eastAsia"/>
          <w:color w:val="3E3E3E"/>
          <w:kern w:val="0"/>
          <w:sz w:val="24"/>
          <w:szCs w:val="24"/>
        </w:rPr>
        <w:t>职业院校管理工作主要参考点</w:t>
      </w: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3F7257" w:rsidP="003F7257">
      <w:pPr>
        <w:widowControl/>
        <w:shd w:val="clear" w:color="auto" w:fill="FFFFFF"/>
        <w:tabs>
          <w:tab w:val="left" w:pos="1470"/>
        </w:tabs>
        <w:spacing w:line="460" w:lineRule="atLeast"/>
        <w:ind w:firstLine="480"/>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tab/>
      </w: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A30806" w:rsidRDefault="00A30806"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Default="00646641" w:rsidP="00A30806">
      <w:pPr>
        <w:widowControl/>
        <w:shd w:val="clear" w:color="auto" w:fill="FFFFFF"/>
        <w:spacing w:line="460" w:lineRule="atLeast"/>
        <w:ind w:firstLine="480"/>
        <w:jc w:val="left"/>
        <w:rPr>
          <w:rFonts w:ascii="Helvetica" w:eastAsia="宋体" w:hAnsi="Helvetica" w:cs="Helvetica"/>
          <w:color w:val="3E3E3E"/>
          <w:kern w:val="0"/>
          <w:sz w:val="24"/>
          <w:szCs w:val="24"/>
        </w:rPr>
      </w:pPr>
    </w:p>
    <w:p w:rsidR="00646641" w:rsidRPr="00815605" w:rsidRDefault="00646641" w:rsidP="00646641">
      <w:pPr>
        <w:adjustRightInd w:val="0"/>
        <w:snapToGrid w:val="0"/>
        <w:spacing w:line="560" w:lineRule="exact"/>
        <w:jc w:val="left"/>
        <w:outlineLvl w:val="0"/>
        <w:rPr>
          <w:rFonts w:ascii="仿宋" w:hAnsi="仿宋"/>
          <w:b/>
          <w:sz w:val="30"/>
        </w:rPr>
      </w:pPr>
      <w:r w:rsidRPr="000B6E86">
        <w:rPr>
          <w:rFonts w:ascii="仿宋" w:hAnsi="仿宋" w:hint="eastAsia"/>
          <w:sz w:val="32"/>
        </w:rPr>
        <w:t>附件</w:t>
      </w:r>
      <w:r w:rsidRPr="000B6E86">
        <w:rPr>
          <w:rFonts w:ascii="仿宋" w:hAnsi="仿宋"/>
          <w:sz w:val="32"/>
        </w:rPr>
        <w:t>1</w:t>
      </w:r>
    </w:p>
    <w:p w:rsidR="00646641" w:rsidRPr="00090EC5" w:rsidRDefault="00646641" w:rsidP="00646641">
      <w:pPr>
        <w:adjustRightInd w:val="0"/>
        <w:snapToGrid w:val="0"/>
        <w:spacing w:line="560" w:lineRule="exact"/>
        <w:jc w:val="center"/>
        <w:outlineLvl w:val="0"/>
        <w:rPr>
          <w:rFonts w:ascii="黑体" w:eastAsia="黑体" w:hAnsi="黑体" w:cs="华文宋体"/>
          <w:sz w:val="32"/>
          <w:szCs w:val="32"/>
        </w:rPr>
      </w:pPr>
      <w:r w:rsidRPr="00090EC5">
        <w:rPr>
          <w:rFonts w:ascii="黑体" w:eastAsia="黑体" w:hAnsi="黑体" w:cs="华文宋体" w:hint="eastAsia"/>
          <w:sz w:val="32"/>
          <w:szCs w:val="32"/>
        </w:rPr>
        <w:t>重点任务分工及进度安排表</w:t>
      </w:r>
    </w:p>
    <w:p w:rsidR="00646641" w:rsidRDefault="00646641" w:rsidP="00646641">
      <w:pPr>
        <w:adjustRightInd w:val="0"/>
        <w:snapToGrid w:val="0"/>
        <w:jc w:val="center"/>
        <w:outlineLvl w:val="0"/>
        <w:rPr>
          <w:rFonts w:ascii="仿宋" w:eastAsia="仿宋" w:hAnsi="仿宋" w:cs="华文宋体"/>
          <w:b/>
          <w:szCs w:val="21"/>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3822"/>
        <w:gridCol w:w="2126"/>
        <w:gridCol w:w="3028"/>
      </w:tblGrid>
      <w:tr w:rsidR="00646641" w:rsidRPr="008E3A4F" w:rsidTr="00646641">
        <w:trPr>
          <w:trHeight w:val="530"/>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序号</w:t>
            </w:r>
          </w:p>
        </w:tc>
        <w:tc>
          <w:tcPr>
            <w:tcW w:w="3822" w:type="dxa"/>
            <w:vAlign w:val="center"/>
          </w:tcPr>
          <w:p w:rsidR="00646641" w:rsidRPr="008E3A4F" w:rsidRDefault="00646641" w:rsidP="002E7759">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重点任务</w:t>
            </w:r>
          </w:p>
        </w:tc>
        <w:tc>
          <w:tcPr>
            <w:tcW w:w="2126" w:type="dxa"/>
            <w:vAlign w:val="center"/>
          </w:tcPr>
          <w:p w:rsidR="00646641" w:rsidRPr="008E3A4F" w:rsidRDefault="00646641" w:rsidP="002E7759">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责任主体</w:t>
            </w:r>
          </w:p>
        </w:tc>
        <w:tc>
          <w:tcPr>
            <w:tcW w:w="3028" w:type="dxa"/>
            <w:vAlign w:val="center"/>
          </w:tcPr>
          <w:p w:rsidR="00646641" w:rsidRPr="008E3A4F" w:rsidRDefault="00646641" w:rsidP="002E7759">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时间进度</w:t>
            </w:r>
          </w:p>
        </w:tc>
      </w:tr>
      <w:tr w:rsidR="00646641" w:rsidRPr="008E3A4F" w:rsidTr="00646641">
        <w:trPr>
          <w:trHeight w:val="470"/>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黑体" w:eastAsia="黑体" w:hAnsi="黑体" w:cs="华文宋体" w:hint="eastAsia"/>
                <w:sz w:val="24"/>
              </w:rPr>
              <w:t>一、突出问题专项治理行动</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诚信招生承诺活动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学籍信息核查活动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028" w:type="dxa"/>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3</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教学标准落地活动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028" w:type="dxa"/>
          </w:tcPr>
          <w:p w:rsidR="00646641" w:rsidRPr="008E3A4F" w:rsidRDefault="00646641" w:rsidP="002E7759">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4</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实习管理规范活动</w:t>
            </w:r>
          </w:p>
        </w:tc>
        <w:tc>
          <w:tcPr>
            <w:tcW w:w="2126" w:type="dxa"/>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028" w:type="dxa"/>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5</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平安校园创建活动</w:t>
            </w:r>
          </w:p>
        </w:tc>
        <w:tc>
          <w:tcPr>
            <w:tcW w:w="2126" w:type="dxa"/>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028" w:type="dxa"/>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6</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Pr>
                <w:rFonts w:ascii="仿宋_GB2312" w:eastAsia="仿宋_GB2312" w:hAnsi="仿宋" w:hint="eastAsia"/>
                <w:sz w:val="24"/>
              </w:rPr>
              <w:t>财务管理规范</w:t>
            </w:r>
            <w:r w:rsidRPr="008E3A4F">
              <w:rPr>
                <w:rFonts w:ascii="仿宋_GB2312" w:eastAsia="仿宋_GB2312" w:hAnsi="仿宋" w:hint="eastAsia"/>
                <w:sz w:val="24"/>
              </w:rPr>
              <w:t>活动</w:t>
            </w:r>
          </w:p>
        </w:tc>
        <w:tc>
          <w:tcPr>
            <w:tcW w:w="2126" w:type="dxa"/>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028"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7</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督促专项治理行动落实并建立长效机制</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646641" w:rsidRPr="008E3A4F" w:rsidTr="00646641">
        <w:trPr>
          <w:trHeight w:val="499"/>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二、管理制度标准建设行动</w:t>
            </w:r>
          </w:p>
        </w:tc>
      </w:tr>
      <w:tr w:rsidR="00646641" w:rsidRPr="008E3A4F" w:rsidTr="00646641">
        <w:trPr>
          <w:trHeight w:val="128"/>
          <w:jc w:val="center"/>
        </w:trPr>
        <w:tc>
          <w:tcPr>
            <w:tcW w:w="851" w:type="dxa"/>
            <w:vAlign w:val="center"/>
          </w:tcPr>
          <w:p w:rsidR="00646641" w:rsidRPr="008E3A4F" w:rsidRDefault="00646641" w:rsidP="00646641">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8</w:t>
            </w:r>
          </w:p>
        </w:tc>
        <w:tc>
          <w:tcPr>
            <w:tcW w:w="3822" w:type="dxa"/>
            <w:vAlign w:val="center"/>
          </w:tcPr>
          <w:p w:rsidR="00646641" w:rsidRPr="008E3A4F" w:rsidRDefault="00646641" w:rsidP="00646641">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学校章程建设</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Default="00646641" w:rsidP="002E7759">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高职院校2015年底前完成</w:t>
            </w:r>
          </w:p>
          <w:p w:rsidR="00646641" w:rsidRDefault="00646641" w:rsidP="002E7759">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中职示范校2016年12月底前完成</w:t>
            </w:r>
          </w:p>
        </w:tc>
      </w:tr>
      <w:tr w:rsidR="00646641" w:rsidRPr="008E3A4F" w:rsidTr="00646641">
        <w:trPr>
          <w:trHeight w:val="128"/>
          <w:jc w:val="center"/>
        </w:trPr>
        <w:tc>
          <w:tcPr>
            <w:tcW w:w="851" w:type="dxa"/>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9</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完善内部管理制度</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年6月底前完成</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10</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搭建章程建设</w:t>
            </w:r>
            <w:r>
              <w:rPr>
                <w:rFonts w:ascii="仿宋_GB2312" w:eastAsia="仿宋_GB2312" w:hAnsi="仿宋" w:cs="华文宋体" w:hint="eastAsia"/>
                <w:sz w:val="24"/>
              </w:rPr>
              <w:t>和完善内部管理制度</w:t>
            </w:r>
            <w:r w:rsidRPr="008E3A4F">
              <w:rPr>
                <w:rFonts w:ascii="仿宋_GB2312" w:eastAsia="仿宋_GB2312" w:hAnsi="仿宋" w:cs="华文宋体" w:hint="eastAsia"/>
                <w:sz w:val="24"/>
              </w:rPr>
              <w:t>的交流、咨询和服务平台，组织研制管理指导手册</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各级教育行政部门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年6月底前完成</w:t>
            </w:r>
          </w:p>
        </w:tc>
      </w:tr>
      <w:tr w:rsidR="00646641" w:rsidRPr="008E3A4F" w:rsidTr="00646641">
        <w:trPr>
          <w:trHeight w:val="497"/>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黑体" w:cs="华文宋体"/>
                <w:sz w:val="24"/>
              </w:rPr>
            </w:pPr>
            <w:r w:rsidRPr="008E3A4F">
              <w:rPr>
                <w:rFonts w:ascii="黑体" w:eastAsia="黑体" w:hAnsi="黑体" w:cs="华文宋体" w:hint="eastAsia"/>
                <w:sz w:val="24"/>
              </w:rPr>
              <w:t>三、管理队伍能力建设行动</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11</w:t>
            </w:r>
          </w:p>
        </w:tc>
        <w:tc>
          <w:tcPr>
            <w:tcW w:w="3822" w:type="dxa"/>
            <w:vAlign w:val="center"/>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464EDA">
              <w:rPr>
                <w:rFonts w:ascii="仿宋_GB2312" w:eastAsia="仿宋_GB2312" w:hAnsi="仿宋" w:cs="华文宋体" w:hint="eastAsia"/>
                <w:sz w:val="24"/>
              </w:rPr>
              <w:t>细化</w:t>
            </w:r>
            <w:r>
              <w:rPr>
                <w:rFonts w:ascii="仿宋_GB2312" w:eastAsia="仿宋_GB2312" w:hAnsi="仿宋" w:cs="华文宋体" w:hint="eastAsia"/>
                <w:sz w:val="24"/>
              </w:rPr>
              <w:t>院校长和其他</w:t>
            </w:r>
            <w:r w:rsidRPr="00464EDA">
              <w:rPr>
                <w:rFonts w:ascii="仿宋_GB2312" w:eastAsia="仿宋_GB2312" w:hAnsi="仿宋" w:cs="华文宋体" w:hint="eastAsia"/>
                <w:sz w:val="24"/>
              </w:rPr>
              <w:t>管理人员能力要求</w:t>
            </w:r>
            <w:r>
              <w:rPr>
                <w:rFonts w:ascii="仿宋_GB2312" w:eastAsia="仿宋_GB2312" w:hAnsi="仿宋" w:cs="华文宋体" w:hint="eastAsia"/>
                <w:sz w:val="24"/>
              </w:rPr>
              <w:t>，开展培养培训</w:t>
            </w:r>
          </w:p>
        </w:tc>
        <w:tc>
          <w:tcPr>
            <w:tcW w:w="2126" w:type="dxa"/>
            <w:vAlign w:val="center"/>
          </w:tcPr>
          <w:p w:rsidR="00646641" w:rsidRPr="00012C0A" w:rsidRDefault="00646641" w:rsidP="002E7759">
            <w:pPr>
              <w:adjustRightInd w:val="0"/>
              <w:snapToGrid w:val="0"/>
              <w:spacing w:line="240" w:lineRule="atLeast"/>
              <w:jc w:val="center"/>
              <w:outlineLvl w:val="0"/>
              <w:rPr>
                <w:rFonts w:ascii="仿宋_GB2312" w:eastAsia="仿宋_GB2312" w:hAnsi="仿宋"/>
                <w:sz w:val="24"/>
              </w:rPr>
            </w:pPr>
            <w:r>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Pr>
                <w:rFonts w:ascii="仿宋_GB2312" w:eastAsia="仿宋_GB2312" w:hAnsi="仿宋" w:cs="华文宋体" w:hint="eastAsia"/>
                <w:sz w:val="24"/>
              </w:rPr>
              <w:t>持续实施</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12</w:t>
            </w:r>
          </w:p>
        </w:tc>
        <w:tc>
          <w:tcPr>
            <w:tcW w:w="3822" w:type="dxa"/>
            <w:vAlign w:val="center"/>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hint="eastAsia"/>
                <w:sz w:val="24"/>
              </w:rPr>
              <w:t>组织开展管理经验交流和培训活动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各级教育行政部</w:t>
            </w:r>
            <w:r w:rsidRPr="008E3A4F">
              <w:rPr>
                <w:rFonts w:ascii="仿宋_GB2312" w:eastAsia="仿宋_GB2312" w:hAnsi="仿宋" w:hint="eastAsia"/>
                <w:sz w:val="24"/>
              </w:rPr>
              <w:lastRenderedPageBreak/>
              <w:t>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lastRenderedPageBreak/>
              <w:t>持续实施</w:t>
            </w:r>
          </w:p>
        </w:tc>
      </w:tr>
      <w:tr w:rsidR="00646641" w:rsidRPr="008E3A4F" w:rsidTr="00646641">
        <w:trPr>
          <w:trHeight w:val="475"/>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lastRenderedPageBreak/>
              <w:t>四、管理信息化水平提升行动</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13</w:t>
            </w:r>
          </w:p>
        </w:tc>
        <w:tc>
          <w:tcPr>
            <w:tcW w:w="3822" w:type="dxa"/>
            <w:vAlign w:val="center"/>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制订和完善数字校园建设规划，建立健全管理信息系统应用和技术支持服务体系</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2017</w:t>
            </w:r>
            <w:r w:rsidRPr="008E3A4F">
              <w:rPr>
                <w:rFonts w:ascii="仿宋_GB2312" w:eastAsia="仿宋_GB2312" w:hAnsi="仿宋" w:hint="eastAsia"/>
                <w:sz w:val="24"/>
              </w:rPr>
              <w:t>年12月底前完成</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14</w:t>
            </w:r>
          </w:p>
        </w:tc>
        <w:tc>
          <w:tcPr>
            <w:tcW w:w="3822" w:type="dxa"/>
            <w:vAlign w:val="center"/>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强化管理人员信息化意识和应用能力培养</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持续实施</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15</w:t>
            </w:r>
          </w:p>
        </w:tc>
        <w:tc>
          <w:tcPr>
            <w:tcW w:w="3822" w:type="dxa"/>
            <w:vAlign w:val="center"/>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组织开展信息化管理创新经验交流与现场观摩等活动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tc>
        <w:tc>
          <w:tcPr>
            <w:tcW w:w="3028" w:type="dxa"/>
            <w:vAlign w:val="center"/>
          </w:tcPr>
          <w:p w:rsidR="00646641"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2017</w:t>
            </w:r>
            <w:r w:rsidRPr="008E3A4F">
              <w:rPr>
                <w:rFonts w:ascii="仿宋_GB2312" w:eastAsia="仿宋_GB2312" w:hAnsi="仿宋" w:hint="eastAsia"/>
                <w:sz w:val="24"/>
              </w:rPr>
              <w:t>年12月底前完成</w:t>
            </w:r>
          </w:p>
        </w:tc>
      </w:tr>
      <w:tr w:rsidR="00646641" w:rsidRPr="008E3A4F" w:rsidTr="00646641">
        <w:trPr>
          <w:trHeight w:val="439"/>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黑体" w:cs="华文宋体"/>
                <w:sz w:val="24"/>
              </w:rPr>
            </w:pPr>
            <w:r w:rsidRPr="008E3A4F">
              <w:rPr>
                <w:rFonts w:ascii="黑体" w:eastAsia="黑体" w:hAnsi="黑体" w:cs="华文宋体" w:hint="eastAsia"/>
                <w:sz w:val="24"/>
              </w:rPr>
              <w:t>五、学校文化育人创新行动</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16</w:t>
            </w:r>
          </w:p>
        </w:tc>
        <w:tc>
          <w:tcPr>
            <w:tcW w:w="3822" w:type="dxa"/>
            <w:vAlign w:val="center"/>
          </w:tcPr>
          <w:p w:rsidR="00646641" w:rsidRPr="008E3A4F" w:rsidRDefault="00646641" w:rsidP="002E7759">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pacing w:val="-4"/>
                <w:sz w:val="24"/>
              </w:rPr>
              <w:t>组织开展</w:t>
            </w:r>
            <w:r>
              <w:rPr>
                <w:rFonts w:ascii="仿宋_GB2312" w:eastAsia="仿宋_GB2312" w:hAnsi="仿宋" w:cs="华文宋体" w:hint="eastAsia"/>
                <w:spacing w:val="-4"/>
                <w:sz w:val="24"/>
              </w:rPr>
              <w:t>学校核心文化</w:t>
            </w:r>
            <w:r w:rsidRPr="008E3A4F">
              <w:rPr>
                <w:rFonts w:ascii="仿宋_GB2312" w:eastAsia="仿宋_GB2312" w:hAnsi="仿宋" w:cs="华文宋体" w:hint="eastAsia"/>
                <w:spacing w:val="-4"/>
                <w:sz w:val="24"/>
              </w:rPr>
              <w:t>、优秀学生社团</w:t>
            </w:r>
            <w:r>
              <w:rPr>
                <w:rFonts w:ascii="仿宋_GB2312" w:eastAsia="仿宋_GB2312" w:hAnsi="仿宋" w:cs="华文宋体" w:hint="eastAsia"/>
                <w:spacing w:val="-4"/>
                <w:sz w:val="24"/>
              </w:rPr>
              <w:t>等</w:t>
            </w:r>
            <w:r w:rsidRPr="008E3A4F">
              <w:rPr>
                <w:rFonts w:ascii="仿宋_GB2312" w:eastAsia="仿宋_GB2312" w:hAnsi="仿宋" w:cs="华文宋体" w:hint="eastAsia"/>
                <w:spacing w:val="-4"/>
                <w:sz w:val="24"/>
              </w:rPr>
              <w:t>遴选展示活动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p w:rsidR="00646641" w:rsidRPr="004423AB"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646641" w:rsidRPr="008E3A4F" w:rsidTr="00646641">
        <w:trPr>
          <w:trHeight w:val="12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17</w:t>
            </w:r>
          </w:p>
        </w:tc>
        <w:tc>
          <w:tcPr>
            <w:tcW w:w="3822" w:type="dxa"/>
            <w:vAlign w:val="center"/>
          </w:tcPr>
          <w:p w:rsidR="00646641" w:rsidRPr="008E3A4F" w:rsidRDefault="00646641" w:rsidP="002E7759">
            <w:pPr>
              <w:adjustRightInd w:val="0"/>
              <w:snapToGrid w:val="0"/>
              <w:spacing w:line="240" w:lineRule="atLeast"/>
              <w:outlineLvl w:val="0"/>
              <w:rPr>
                <w:rFonts w:ascii="仿宋_GB2312" w:eastAsia="仿宋_GB2312" w:hAnsi="仿宋" w:cs="华文宋体"/>
                <w:sz w:val="24"/>
              </w:rPr>
            </w:pPr>
            <w:r>
              <w:rPr>
                <w:rFonts w:ascii="仿宋_GB2312" w:eastAsia="仿宋_GB2312" w:hAnsi="仿宋" w:cs="华文宋体" w:hint="eastAsia"/>
                <w:sz w:val="24"/>
              </w:rPr>
              <w:t>开展</w:t>
            </w:r>
            <w:r w:rsidRPr="008E3A4F">
              <w:rPr>
                <w:rFonts w:ascii="仿宋_GB2312" w:eastAsia="仿宋_GB2312" w:hAnsi="仿宋" w:cs="华文宋体" w:hint="eastAsia"/>
                <w:sz w:val="24"/>
              </w:rPr>
              <w:t>优秀文化进校园、学生</w:t>
            </w:r>
            <w:r>
              <w:rPr>
                <w:rFonts w:ascii="仿宋_GB2312" w:eastAsia="仿宋_GB2312" w:hAnsi="仿宋" w:cs="华文宋体" w:hint="eastAsia"/>
                <w:sz w:val="24"/>
              </w:rPr>
              <w:t>自主发展</w:t>
            </w:r>
            <w:r w:rsidRPr="008E3A4F">
              <w:rPr>
                <w:rFonts w:ascii="仿宋_GB2312" w:eastAsia="仿宋_GB2312" w:hAnsi="仿宋" w:cs="华文宋体" w:hint="eastAsia"/>
                <w:sz w:val="24"/>
              </w:rPr>
              <w:t>能力培养</w:t>
            </w:r>
            <w:r>
              <w:rPr>
                <w:rFonts w:ascii="仿宋_GB2312" w:eastAsia="仿宋_GB2312" w:hAnsi="仿宋" w:cs="华文宋体" w:hint="eastAsia"/>
                <w:sz w:val="24"/>
              </w:rPr>
              <w:t>等</w:t>
            </w:r>
            <w:r w:rsidRPr="008E3A4F">
              <w:rPr>
                <w:rFonts w:ascii="仿宋_GB2312" w:eastAsia="仿宋_GB2312" w:hAnsi="仿宋" w:cs="华文宋体" w:hint="eastAsia"/>
                <w:sz w:val="24"/>
              </w:rPr>
              <w:t>系列主题活动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持续实施</w:t>
            </w:r>
          </w:p>
        </w:tc>
      </w:tr>
      <w:tr w:rsidR="00646641" w:rsidRPr="008E3A4F" w:rsidTr="00646641">
        <w:trPr>
          <w:trHeight w:val="476"/>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六、质量保证体系完善行动</w:t>
            </w:r>
          </w:p>
        </w:tc>
      </w:tr>
      <w:tr w:rsidR="00646641" w:rsidRPr="008E3A4F" w:rsidTr="00646641">
        <w:trPr>
          <w:trHeight w:val="55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18</w:t>
            </w:r>
          </w:p>
        </w:tc>
        <w:tc>
          <w:tcPr>
            <w:tcW w:w="3822" w:type="dxa"/>
            <w:vAlign w:val="center"/>
          </w:tcPr>
          <w:p w:rsidR="00646641" w:rsidRPr="008E3A4F" w:rsidRDefault="00646641" w:rsidP="002E7759">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建立健全质量监控体系，发布质量年度报告</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646641" w:rsidRPr="008E3A4F" w:rsidTr="00646641">
        <w:trPr>
          <w:trHeight w:val="55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19</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建立和完善预警机制，编制、发布职业教育质量年度报告</w:t>
            </w:r>
          </w:p>
        </w:tc>
        <w:tc>
          <w:tcPr>
            <w:tcW w:w="2126" w:type="dxa"/>
            <w:vAlign w:val="center"/>
          </w:tcPr>
          <w:p w:rsidR="00646641" w:rsidRPr="008E3A4F" w:rsidRDefault="00646641" w:rsidP="002E7759">
            <w:pPr>
              <w:adjustRightInd w:val="0"/>
              <w:snapToGrid w:val="0"/>
              <w:spacing w:line="240" w:lineRule="atLeast"/>
              <w:outlineLvl w:val="0"/>
              <w:rPr>
                <w:rFonts w:ascii="仿宋_GB2312" w:eastAsia="仿宋_GB2312" w:hAnsi="仿宋"/>
                <w:sz w:val="24"/>
              </w:rPr>
            </w:pPr>
            <w:r w:rsidRPr="008E3A4F">
              <w:rPr>
                <w:rFonts w:ascii="仿宋_GB2312" w:eastAsia="仿宋_GB2312" w:hAnsi="仿宋" w:hint="eastAsia"/>
                <w:sz w:val="24"/>
              </w:rPr>
              <w:t>地方教育行政部门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646641" w:rsidRPr="008E3A4F" w:rsidTr="00646641">
        <w:trPr>
          <w:trHeight w:val="459"/>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定期组织质量年报的合规性审查</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教育部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646641" w:rsidRPr="008E3A4F" w:rsidTr="00646641">
        <w:trPr>
          <w:trHeight w:val="478"/>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七、加强组织领导</w:t>
            </w:r>
          </w:p>
        </w:tc>
      </w:tr>
      <w:tr w:rsidR="00646641" w:rsidRPr="008E3A4F" w:rsidTr="00646641">
        <w:trPr>
          <w:trHeight w:val="82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21</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负责行动计划的总体设计、全面部署和对各地落实情况的监督指导</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教育部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持续实施</w:t>
            </w:r>
          </w:p>
        </w:tc>
      </w:tr>
      <w:tr w:rsidR="00646641" w:rsidRPr="008E3A4F" w:rsidTr="00646641">
        <w:trPr>
          <w:trHeight w:val="99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2</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根据行动计划整体部署，对照《职业院校管理工作主要参考点》，制订工作方案和年度推进计划</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2015</w:t>
            </w:r>
            <w:r w:rsidRPr="008E3A4F">
              <w:rPr>
                <w:rFonts w:ascii="仿宋_GB2312" w:eastAsia="仿宋_GB2312" w:hAnsi="仿宋" w:hint="eastAsia"/>
                <w:sz w:val="24"/>
              </w:rPr>
              <w:t>年</w:t>
            </w:r>
            <w:r w:rsidRPr="008E3A4F">
              <w:rPr>
                <w:rFonts w:ascii="仿宋_GB2312" w:eastAsia="仿宋_GB2312" w:hint="eastAsia"/>
                <w:sz w:val="24"/>
              </w:rPr>
              <w:t>11</w:t>
            </w:r>
            <w:r w:rsidRPr="008E3A4F">
              <w:rPr>
                <w:rFonts w:ascii="仿宋_GB2312" w:eastAsia="仿宋_GB2312" w:hAnsi="仿宋" w:hint="eastAsia"/>
                <w:sz w:val="24"/>
              </w:rPr>
              <w:t>月底前完成</w:t>
            </w:r>
          </w:p>
        </w:tc>
      </w:tr>
      <w:tr w:rsidR="00646641" w:rsidRPr="008E3A4F" w:rsidTr="00646641">
        <w:trPr>
          <w:trHeight w:val="55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3</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各省行动计划实施方案报教育部备案</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地方教育行政部门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2015</w:t>
            </w:r>
            <w:r w:rsidRPr="008E3A4F">
              <w:rPr>
                <w:rFonts w:ascii="仿宋_GB2312" w:eastAsia="仿宋_GB2312" w:hAnsi="仿宋" w:hint="eastAsia"/>
                <w:sz w:val="24"/>
              </w:rPr>
              <w:t>年</w:t>
            </w:r>
            <w:r w:rsidRPr="008E3A4F">
              <w:rPr>
                <w:rFonts w:ascii="仿宋_GB2312" w:eastAsia="仿宋_GB2312" w:hint="eastAsia"/>
                <w:sz w:val="24"/>
              </w:rPr>
              <w:t>12</w:t>
            </w:r>
            <w:r w:rsidRPr="008E3A4F">
              <w:rPr>
                <w:rFonts w:ascii="仿宋_GB2312" w:eastAsia="仿宋_GB2312" w:hAnsi="仿宋" w:hint="eastAsia"/>
                <w:sz w:val="24"/>
              </w:rPr>
              <w:t>月底前完成</w:t>
            </w:r>
          </w:p>
        </w:tc>
      </w:tr>
      <w:tr w:rsidR="00646641" w:rsidRPr="008E3A4F" w:rsidTr="00646641">
        <w:trPr>
          <w:trHeight w:val="461"/>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八、加强宣传发动</w:t>
            </w:r>
          </w:p>
        </w:tc>
      </w:tr>
      <w:tr w:rsidR="00646641" w:rsidRPr="008E3A4F" w:rsidTr="00646641">
        <w:trPr>
          <w:trHeight w:val="82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4</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开展行动计划以及国家职业教育有关政策法规和制度标准的宣传解读活动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Pr>
                <w:rFonts w:ascii="仿宋_GB2312" w:eastAsia="仿宋_GB2312" w:hint="eastAsia"/>
                <w:sz w:val="24"/>
              </w:rPr>
              <w:t>持续实施</w:t>
            </w:r>
            <w:r w:rsidRPr="008E3A4F" w:rsidDel="00464EDA">
              <w:rPr>
                <w:rFonts w:ascii="仿宋_GB2312" w:eastAsia="仿宋_GB2312" w:hint="eastAsia"/>
                <w:sz w:val="24"/>
              </w:rPr>
              <w:t xml:space="preserve"> </w:t>
            </w:r>
          </w:p>
        </w:tc>
      </w:tr>
      <w:tr w:rsidR="00646641" w:rsidRPr="008E3A4F" w:rsidTr="00646641">
        <w:trPr>
          <w:trHeight w:val="82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5</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设立“职业院校管理水平提升行动计划”网络专栏，组织专家辅导、专题研讨等活动</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各级教育行政部门职业院校</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Pr>
                <w:rFonts w:ascii="仿宋_GB2312" w:eastAsia="仿宋_GB2312" w:hint="eastAsia"/>
                <w:sz w:val="24"/>
              </w:rPr>
              <w:t>持续实施</w:t>
            </w:r>
          </w:p>
        </w:tc>
      </w:tr>
      <w:tr w:rsidR="00646641" w:rsidRPr="008E3A4F" w:rsidTr="00646641">
        <w:trPr>
          <w:trHeight w:val="466"/>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九、加强督促检查</w:t>
            </w:r>
          </w:p>
        </w:tc>
      </w:tr>
      <w:tr w:rsidR="00646641" w:rsidRPr="008E3A4F" w:rsidTr="00646641">
        <w:trPr>
          <w:trHeight w:val="55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6</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建立督查调研、情况通报、限期报告、跟踪问效等制度</w:t>
            </w:r>
          </w:p>
        </w:tc>
        <w:tc>
          <w:tcPr>
            <w:tcW w:w="2126" w:type="dxa"/>
            <w:vAlign w:val="center"/>
          </w:tcPr>
          <w:p w:rsidR="00646641" w:rsidRPr="008E3A4F" w:rsidRDefault="00646641" w:rsidP="002E7759">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各级教育行政部门</w:t>
            </w:r>
          </w:p>
        </w:tc>
        <w:tc>
          <w:tcPr>
            <w:tcW w:w="3028" w:type="dxa"/>
            <w:vAlign w:val="center"/>
          </w:tcPr>
          <w:p w:rsidR="00646641" w:rsidRDefault="00646641" w:rsidP="002E7759">
            <w:pPr>
              <w:adjustRightInd w:val="0"/>
              <w:snapToGrid w:val="0"/>
              <w:spacing w:line="240" w:lineRule="atLeast"/>
              <w:ind w:firstLineChars="500" w:firstLine="1200"/>
              <w:outlineLvl w:val="0"/>
              <w:rPr>
                <w:rFonts w:ascii="仿宋_GB2312" w:eastAsia="仿宋_GB2312" w:hAnsi="仿宋" w:cs="华文宋体"/>
                <w:sz w:val="24"/>
              </w:rPr>
            </w:pPr>
            <w:r w:rsidRPr="008E3A4F">
              <w:rPr>
                <w:rFonts w:ascii="仿宋_GB2312" w:eastAsia="仿宋_GB2312" w:hint="eastAsia"/>
                <w:sz w:val="24"/>
              </w:rPr>
              <w:t>持续实施</w:t>
            </w:r>
          </w:p>
        </w:tc>
      </w:tr>
      <w:tr w:rsidR="00646641" w:rsidRPr="008E3A4F" w:rsidTr="00646641">
        <w:trPr>
          <w:trHeight w:val="824"/>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lastRenderedPageBreak/>
              <w:t>2</w:t>
            </w:r>
            <w:r>
              <w:rPr>
                <w:rFonts w:ascii="仿宋_GB2312" w:eastAsia="仿宋_GB2312" w:hint="eastAsia"/>
                <w:sz w:val="24"/>
              </w:rPr>
              <w:t>7</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建立行动计划实施进展情况简报、通报和重大问题限期整改报告制度，视情组织专项督查</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cs="华文宋体" w:hint="eastAsia"/>
                <w:sz w:val="24"/>
              </w:rPr>
              <w:t>教育部</w:t>
            </w:r>
          </w:p>
        </w:tc>
        <w:tc>
          <w:tcPr>
            <w:tcW w:w="3028" w:type="dxa"/>
            <w:vAlign w:val="center"/>
          </w:tcPr>
          <w:p w:rsidR="00646641" w:rsidRDefault="00646641" w:rsidP="002E7759">
            <w:pPr>
              <w:adjustRightInd w:val="0"/>
              <w:snapToGrid w:val="0"/>
              <w:spacing w:line="240" w:lineRule="atLeast"/>
              <w:ind w:firstLineChars="500" w:firstLine="1200"/>
              <w:outlineLvl w:val="0"/>
              <w:rPr>
                <w:rFonts w:ascii="仿宋_GB2312" w:eastAsia="仿宋_GB2312" w:hAnsi="仿宋" w:cs="华文宋体"/>
                <w:sz w:val="24"/>
              </w:rPr>
            </w:pPr>
            <w:r w:rsidRPr="008E3A4F">
              <w:rPr>
                <w:rFonts w:ascii="仿宋_GB2312" w:eastAsia="仿宋_GB2312" w:hint="eastAsia"/>
                <w:sz w:val="24"/>
              </w:rPr>
              <w:t>持续实施</w:t>
            </w:r>
          </w:p>
        </w:tc>
      </w:tr>
      <w:tr w:rsidR="00646641" w:rsidRPr="008E3A4F" w:rsidTr="00646641">
        <w:trPr>
          <w:trHeight w:val="269"/>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8</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sz w:val="24"/>
              </w:rPr>
            </w:pPr>
            <w:r>
              <w:rPr>
                <w:rFonts w:ascii="仿宋_GB2312" w:eastAsia="仿宋_GB2312" w:hAnsi="仿宋" w:hint="eastAsia"/>
                <w:sz w:val="24"/>
              </w:rPr>
              <w:t>分类遴选</w:t>
            </w:r>
            <w:r w:rsidRPr="008E3A4F">
              <w:rPr>
                <w:rFonts w:ascii="仿宋_GB2312" w:eastAsia="仿宋_GB2312" w:hAnsi="仿宋" w:hint="eastAsia"/>
                <w:sz w:val="24"/>
              </w:rPr>
              <w:t>职业院校管理</w:t>
            </w:r>
            <w:r w:rsidRPr="008E3A4F">
              <w:rPr>
                <w:rFonts w:ascii="仿宋_GB2312" w:eastAsia="仿宋_GB2312" w:hint="eastAsia"/>
                <w:sz w:val="24"/>
              </w:rPr>
              <w:t>500</w:t>
            </w:r>
            <w:r w:rsidRPr="008E3A4F">
              <w:rPr>
                <w:rFonts w:ascii="仿宋_GB2312" w:eastAsia="仿宋_GB2312" w:hAnsi="仿宋" w:hint="eastAsia"/>
                <w:sz w:val="24"/>
              </w:rPr>
              <w:t>强</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cs="华文宋体" w:hint="eastAsia"/>
                <w:sz w:val="24"/>
              </w:rPr>
              <w:t>委托第三方</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w:t>
            </w:r>
            <w:r w:rsidRPr="008E3A4F">
              <w:rPr>
                <w:rFonts w:ascii="仿宋_GB2312" w:eastAsia="仿宋_GB2312" w:hint="eastAsia"/>
                <w:sz w:val="24"/>
              </w:rPr>
              <w:t>6</w:t>
            </w:r>
            <w:r w:rsidRPr="008E3A4F">
              <w:rPr>
                <w:rFonts w:ascii="仿宋_GB2312" w:eastAsia="仿宋_GB2312" w:hAnsi="仿宋" w:hint="eastAsia"/>
                <w:sz w:val="24"/>
              </w:rPr>
              <w:t>月底前完成</w:t>
            </w:r>
          </w:p>
        </w:tc>
      </w:tr>
      <w:tr w:rsidR="00646641" w:rsidRPr="008E3A4F" w:rsidTr="00646641">
        <w:trPr>
          <w:trHeight w:val="413"/>
          <w:jc w:val="center"/>
        </w:trPr>
        <w:tc>
          <w:tcPr>
            <w:tcW w:w="9827" w:type="dxa"/>
            <w:gridSpan w:val="4"/>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十、加强指导服务</w:t>
            </w:r>
          </w:p>
        </w:tc>
      </w:tr>
      <w:tr w:rsidR="00646641" w:rsidRPr="008E3A4F" w:rsidTr="00646641">
        <w:trPr>
          <w:trHeight w:val="83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29</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加强专家队伍建设，组织开展相关研究，跟踪行动计划的实施进展情况，并及时提供专业指导</w:t>
            </w:r>
            <w:r>
              <w:rPr>
                <w:rFonts w:ascii="仿宋_GB2312" w:eastAsia="仿宋_GB2312" w:hAnsi="仿宋" w:cs="华文宋体" w:hint="eastAsia"/>
                <w:sz w:val="24"/>
              </w:rPr>
              <w:t>，</w:t>
            </w:r>
            <w:r w:rsidRPr="008E3A4F">
              <w:rPr>
                <w:rFonts w:ascii="仿宋_GB2312" w:eastAsia="仿宋_GB2312" w:hAnsi="仿宋" w:cs="华文宋体" w:hint="eastAsia"/>
                <w:sz w:val="24"/>
              </w:rPr>
              <w:t>广泛征集和宣传优秀管理案例</w:t>
            </w:r>
          </w:p>
        </w:tc>
        <w:tc>
          <w:tcPr>
            <w:tcW w:w="2126" w:type="dxa"/>
            <w:vAlign w:val="center"/>
          </w:tcPr>
          <w:p w:rsidR="00646641" w:rsidRPr="008E3A4F" w:rsidRDefault="00646641" w:rsidP="002E7759">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各级教育行政部门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持续实施</w:t>
            </w:r>
          </w:p>
        </w:tc>
      </w:tr>
      <w:tr w:rsidR="00646641" w:rsidRPr="008E3A4F" w:rsidTr="00646641">
        <w:trPr>
          <w:trHeight w:val="838"/>
          <w:jc w:val="center"/>
        </w:trPr>
        <w:tc>
          <w:tcPr>
            <w:tcW w:w="851" w:type="dxa"/>
            <w:vAlign w:val="center"/>
          </w:tcPr>
          <w:p w:rsidR="00646641" w:rsidRPr="008E3A4F" w:rsidRDefault="00646641" w:rsidP="002E7759">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3</w:t>
            </w:r>
            <w:r>
              <w:rPr>
                <w:rFonts w:ascii="仿宋_GB2312" w:eastAsia="仿宋_GB2312" w:hint="eastAsia"/>
                <w:sz w:val="24"/>
              </w:rPr>
              <w:t>0</w:t>
            </w:r>
          </w:p>
        </w:tc>
        <w:tc>
          <w:tcPr>
            <w:tcW w:w="3822" w:type="dxa"/>
          </w:tcPr>
          <w:p w:rsidR="00646641" w:rsidRPr="008E3A4F" w:rsidRDefault="00646641" w:rsidP="002E7759">
            <w:pPr>
              <w:adjustRightInd w:val="0"/>
              <w:snapToGrid w:val="0"/>
              <w:spacing w:line="240" w:lineRule="atLeast"/>
              <w:jc w:val="left"/>
              <w:outlineLvl w:val="0"/>
              <w:rPr>
                <w:rFonts w:ascii="仿宋_GB2312" w:eastAsia="仿宋_GB2312" w:hAnsi="仿宋" w:cs="华文宋体"/>
                <w:sz w:val="24"/>
              </w:rPr>
            </w:pPr>
            <w:r>
              <w:rPr>
                <w:rFonts w:ascii="仿宋_GB2312" w:eastAsia="仿宋_GB2312" w:hAnsi="仿宋" w:cs="华文宋体" w:hint="eastAsia"/>
                <w:sz w:val="24"/>
              </w:rPr>
              <w:t>组织专业力量设计问卷，开展大样本网络调查，形成</w:t>
            </w:r>
            <w:r w:rsidRPr="008E3A4F">
              <w:rPr>
                <w:rFonts w:ascii="仿宋_GB2312" w:eastAsia="仿宋_GB2312" w:hAnsi="仿宋" w:cs="华文宋体" w:hint="eastAsia"/>
                <w:sz w:val="24"/>
              </w:rPr>
              <w:t>职业院校管理状态“大数据”及分析报告</w:t>
            </w:r>
          </w:p>
        </w:tc>
        <w:tc>
          <w:tcPr>
            <w:tcW w:w="2126"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教育部</w:t>
            </w:r>
          </w:p>
        </w:tc>
        <w:tc>
          <w:tcPr>
            <w:tcW w:w="3028" w:type="dxa"/>
            <w:vAlign w:val="center"/>
          </w:tcPr>
          <w:p w:rsidR="00646641" w:rsidRPr="008E3A4F" w:rsidRDefault="00646641" w:rsidP="002E7759">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2017</w:t>
            </w:r>
            <w:r w:rsidRPr="008E3A4F">
              <w:rPr>
                <w:rFonts w:ascii="仿宋_GB2312" w:eastAsia="仿宋_GB2312" w:hAnsi="仿宋" w:hint="eastAsia"/>
                <w:sz w:val="24"/>
              </w:rPr>
              <w:t>年</w:t>
            </w:r>
            <w:r w:rsidRPr="008E3A4F">
              <w:rPr>
                <w:rFonts w:ascii="仿宋_GB2312" w:eastAsia="仿宋_GB2312" w:hint="eastAsia"/>
                <w:sz w:val="24"/>
              </w:rPr>
              <w:t>12</w:t>
            </w:r>
            <w:r w:rsidRPr="008E3A4F">
              <w:rPr>
                <w:rFonts w:ascii="仿宋_GB2312" w:eastAsia="仿宋_GB2312" w:hAnsi="仿宋" w:hint="eastAsia"/>
                <w:sz w:val="24"/>
              </w:rPr>
              <w:t>月底前完成</w:t>
            </w:r>
          </w:p>
        </w:tc>
      </w:tr>
    </w:tbl>
    <w:p w:rsidR="00646641" w:rsidRDefault="00646641" w:rsidP="00646641">
      <w:pPr>
        <w:widowControl/>
        <w:shd w:val="clear" w:color="auto" w:fill="FFFFFF"/>
        <w:spacing w:line="460" w:lineRule="atLeast"/>
        <w:jc w:val="left"/>
        <w:rPr>
          <w:rFonts w:ascii="Helvetica" w:eastAsia="宋体" w:hAnsi="Helvetica" w:cs="Helvetica"/>
          <w:color w:val="3E3E3E"/>
          <w:kern w:val="0"/>
          <w:sz w:val="24"/>
          <w:szCs w:val="24"/>
        </w:rPr>
      </w:pPr>
      <w:bookmarkStart w:id="0" w:name="_GoBack"/>
      <w:bookmarkEnd w:id="0"/>
    </w:p>
    <w:p w:rsidR="00646641" w:rsidRDefault="00646641" w:rsidP="00646641">
      <w:pPr>
        <w:adjustRightInd w:val="0"/>
        <w:snapToGrid w:val="0"/>
        <w:spacing w:line="560" w:lineRule="exact"/>
        <w:jc w:val="left"/>
        <w:outlineLvl w:val="0"/>
        <w:rPr>
          <w:rFonts w:ascii="仿宋" w:hAnsi="仿宋"/>
          <w:sz w:val="32"/>
        </w:rPr>
        <w:sectPr w:rsidR="00646641">
          <w:footerReference w:type="default" r:id="rId6"/>
          <w:pgSz w:w="11906" w:h="16838"/>
          <w:pgMar w:top="1440" w:right="1800" w:bottom="1440" w:left="1800" w:header="851" w:footer="992" w:gutter="0"/>
          <w:cols w:space="425"/>
          <w:docGrid w:type="lines" w:linePitch="312"/>
        </w:sectPr>
      </w:pPr>
    </w:p>
    <w:p w:rsidR="00646641" w:rsidRPr="00815605" w:rsidRDefault="00646641" w:rsidP="00646641">
      <w:pPr>
        <w:adjustRightInd w:val="0"/>
        <w:snapToGrid w:val="0"/>
        <w:spacing w:line="560" w:lineRule="exact"/>
        <w:jc w:val="left"/>
        <w:outlineLvl w:val="0"/>
        <w:rPr>
          <w:rFonts w:ascii="仿宋" w:hAnsi="仿宋"/>
          <w:sz w:val="32"/>
        </w:rPr>
      </w:pPr>
      <w:r w:rsidRPr="000B6E86">
        <w:rPr>
          <w:rFonts w:ascii="仿宋" w:hAnsi="仿宋" w:hint="eastAsia"/>
          <w:sz w:val="32"/>
        </w:rPr>
        <w:lastRenderedPageBreak/>
        <w:t>附件</w:t>
      </w:r>
      <w:r w:rsidRPr="000B6E86">
        <w:rPr>
          <w:rFonts w:ascii="仿宋" w:hAnsi="仿宋"/>
          <w:sz w:val="32"/>
        </w:rPr>
        <w:t>2</w:t>
      </w:r>
    </w:p>
    <w:p w:rsidR="00646641" w:rsidRPr="00090EC5" w:rsidRDefault="00646641" w:rsidP="00646641">
      <w:pPr>
        <w:adjustRightInd w:val="0"/>
        <w:snapToGrid w:val="0"/>
        <w:spacing w:line="560" w:lineRule="exact"/>
        <w:jc w:val="center"/>
        <w:outlineLvl w:val="0"/>
        <w:rPr>
          <w:rFonts w:ascii="黑体" w:eastAsia="黑体" w:hAnsi="黑体" w:cs="华文宋体"/>
          <w:sz w:val="32"/>
          <w:szCs w:val="32"/>
        </w:rPr>
      </w:pPr>
      <w:r w:rsidRPr="00090EC5">
        <w:rPr>
          <w:rFonts w:ascii="黑体" w:eastAsia="黑体" w:hAnsi="黑体" w:cs="华文宋体" w:hint="eastAsia"/>
          <w:sz w:val="32"/>
          <w:szCs w:val="32"/>
        </w:rPr>
        <w:t>职业院校管理工作主要参考点</w:t>
      </w:r>
    </w:p>
    <w:p w:rsidR="00646641" w:rsidRPr="000521F6" w:rsidRDefault="00646641" w:rsidP="00646641">
      <w:pPr>
        <w:rPr>
          <w:b/>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418"/>
        <w:gridCol w:w="12474"/>
      </w:tblGrid>
      <w:tr w:rsidR="00646641" w:rsidRPr="0044086A" w:rsidTr="002E7759">
        <w:trPr>
          <w:trHeight w:val="577"/>
        </w:trPr>
        <w:tc>
          <w:tcPr>
            <w:tcW w:w="851" w:type="dxa"/>
            <w:vAlign w:val="center"/>
          </w:tcPr>
          <w:p w:rsidR="00646641" w:rsidRPr="0044086A" w:rsidRDefault="00646641" w:rsidP="002E7759">
            <w:pPr>
              <w:widowControl/>
              <w:adjustRightInd w:val="0"/>
              <w:snapToGrid w:val="0"/>
              <w:spacing w:line="240" w:lineRule="atLeast"/>
              <w:jc w:val="center"/>
              <w:rPr>
                <w:rFonts w:ascii="黑体" w:eastAsia="黑体" w:hAnsi="黑体" w:cs="宋体"/>
                <w:b/>
                <w:bCs/>
                <w:kern w:val="0"/>
                <w:sz w:val="24"/>
              </w:rPr>
            </w:pPr>
            <w:r>
              <w:rPr>
                <w:rFonts w:ascii="黑体" w:eastAsia="黑体" w:hAnsi="黑体" w:cs="宋体" w:hint="eastAsia"/>
                <w:b/>
                <w:bCs/>
                <w:kern w:val="0"/>
                <w:sz w:val="24"/>
              </w:rPr>
              <w:t>序号</w:t>
            </w:r>
          </w:p>
        </w:tc>
        <w:tc>
          <w:tcPr>
            <w:tcW w:w="1418" w:type="dxa"/>
            <w:vAlign w:val="center"/>
          </w:tcPr>
          <w:p w:rsidR="00646641" w:rsidRPr="0044086A" w:rsidRDefault="00646641" w:rsidP="002E7759">
            <w:pPr>
              <w:widowControl/>
              <w:adjustRightInd w:val="0"/>
              <w:snapToGrid w:val="0"/>
              <w:spacing w:line="240" w:lineRule="atLeast"/>
              <w:jc w:val="center"/>
              <w:rPr>
                <w:rFonts w:ascii="黑体" w:eastAsia="黑体" w:hAnsi="黑体" w:cs="宋体"/>
                <w:b/>
                <w:bCs/>
                <w:kern w:val="0"/>
                <w:sz w:val="24"/>
              </w:rPr>
            </w:pPr>
            <w:r w:rsidRPr="0044086A">
              <w:rPr>
                <w:rFonts w:ascii="黑体" w:eastAsia="黑体" w:hAnsi="黑体" w:cs="宋体" w:hint="eastAsia"/>
                <w:b/>
                <w:bCs/>
                <w:kern w:val="0"/>
                <w:sz w:val="24"/>
              </w:rPr>
              <w:t>内容</w:t>
            </w:r>
          </w:p>
        </w:tc>
        <w:tc>
          <w:tcPr>
            <w:tcW w:w="12474" w:type="dxa"/>
            <w:vAlign w:val="center"/>
          </w:tcPr>
          <w:p w:rsidR="00646641" w:rsidRPr="0044086A" w:rsidRDefault="00646641" w:rsidP="002E7759">
            <w:pPr>
              <w:widowControl/>
              <w:adjustRightInd w:val="0"/>
              <w:snapToGrid w:val="0"/>
              <w:spacing w:line="240" w:lineRule="atLeast"/>
              <w:jc w:val="center"/>
              <w:rPr>
                <w:rFonts w:ascii="黑体" w:eastAsia="黑体" w:hAnsi="黑体" w:cs="宋体"/>
                <w:b/>
                <w:bCs/>
                <w:kern w:val="0"/>
                <w:sz w:val="24"/>
              </w:rPr>
            </w:pPr>
            <w:r w:rsidRPr="0044086A">
              <w:rPr>
                <w:rFonts w:ascii="黑体" w:eastAsia="黑体" w:hAnsi="黑体" w:cs="宋体" w:hint="eastAsia"/>
                <w:b/>
                <w:bCs/>
                <w:kern w:val="0"/>
                <w:sz w:val="24"/>
              </w:rPr>
              <w:t>主要参考点及内涵</w:t>
            </w:r>
          </w:p>
        </w:tc>
      </w:tr>
      <w:tr w:rsidR="00646641" w:rsidRPr="0044086A" w:rsidTr="002E7759">
        <w:trPr>
          <w:trHeight w:val="577"/>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1</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bCs/>
                <w:kern w:val="0"/>
                <w:sz w:val="24"/>
              </w:rPr>
            </w:pPr>
            <w:r w:rsidRPr="0044086A">
              <w:rPr>
                <w:rFonts w:ascii="仿宋_GB2312" w:eastAsia="仿宋_GB2312" w:hAnsi="仿宋" w:cs="宋体" w:hint="eastAsia"/>
                <w:kern w:val="0"/>
                <w:sz w:val="24"/>
              </w:rPr>
              <w:t>办学理念</w:t>
            </w:r>
          </w:p>
        </w:tc>
        <w:tc>
          <w:tcPr>
            <w:tcW w:w="12474" w:type="dxa"/>
            <w:vAlign w:val="center"/>
          </w:tcPr>
          <w:p w:rsidR="00646641" w:rsidRPr="0044086A" w:rsidRDefault="00646641" w:rsidP="002E7759">
            <w:pPr>
              <w:widowControl/>
              <w:adjustRightInd w:val="0"/>
              <w:snapToGrid w:val="0"/>
              <w:spacing w:line="240" w:lineRule="atLeast"/>
              <w:rPr>
                <w:rFonts w:ascii="仿宋_GB2312" w:eastAsia="仿宋_GB2312" w:hAnsi="仿宋" w:cs="宋体"/>
                <w:bCs/>
                <w:kern w:val="0"/>
                <w:sz w:val="24"/>
              </w:rPr>
            </w:pPr>
            <w:r w:rsidRPr="0044086A">
              <w:rPr>
                <w:rFonts w:ascii="仿宋_GB2312" w:eastAsia="仿宋_GB2312" w:hAnsi="仿宋" w:cs="宋体" w:hint="eastAsia"/>
                <w:kern w:val="0"/>
                <w:sz w:val="24"/>
              </w:rPr>
              <w:t>1.1发展定位: 坚持产教融合、校企合作，坚持工学结合、知行合一，坚持以人为本、能力为重，适应经济社会和人的全面发展需求，对学校发展目标、培养模式和办学特色等进行科学定位</w:t>
            </w:r>
          </w:p>
        </w:tc>
      </w:tr>
      <w:tr w:rsidR="00646641" w:rsidRPr="0044086A" w:rsidTr="002E7759">
        <w:trPr>
          <w:trHeight w:val="57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bCs/>
                <w:kern w:val="0"/>
                <w:sz w:val="24"/>
              </w:rPr>
            </w:pPr>
          </w:p>
        </w:tc>
        <w:tc>
          <w:tcPr>
            <w:tcW w:w="1418"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bCs/>
                <w:kern w:val="0"/>
                <w:sz w:val="24"/>
              </w:rPr>
            </w:pPr>
          </w:p>
        </w:tc>
        <w:tc>
          <w:tcPr>
            <w:tcW w:w="12474" w:type="dxa"/>
            <w:vAlign w:val="center"/>
          </w:tcPr>
          <w:p w:rsidR="00646641" w:rsidRPr="0044086A" w:rsidRDefault="00646641" w:rsidP="002E7759">
            <w:pPr>
              <w:widowControl/>
              <w:adjustRightInd w:val="0"/>
              <w:snapToGrid w:val="0"/>
              <w:spacing w:line="240" w:lineRule="atLeast"/>
              <w:rPr>
                <w:rFonts w:ascii="仿宋_GB2312" w:eastAsia="仿宋_GB2312" w:hAnsi="仿宋" w:cs="宋体"/>
                <w:bCs/>
                <w:kern w:val="0"/>
                <w:sz w:val="24"/>
              </w:rPr>
            </w:pPr>
            <w:r w:rsidRPr="0044086A">
              <w:rPr>
                <w:rFonts w:ascii="仿宋_GB2312" w:eastAsia="仿宋_GB2312" w:hAnsi="仿宋" w:cs="宋体" w:hint="eastAsia"/>
                <w:kern w:val="0"/>
                <w:sz w:val="24"/>
              </w:rPr>
              <w:t>1.2一训三风：具有体现中华优秀传统文化和现代职教思想、职业特质、学校特色、可传承发展的校训和校风、教风、学风；校徽、建筑、雕塑、标识等体现地域文化、学校历史和专业特色</w:t>
            </w:r>
          </w:p>
        </w:tc>
      </w:tr>
      <w:tr w:rsidR="00646641" w:rsidRPr="0044086A" w:rsidTr="002E7759">
        <w:trPr>
          <w:trHeight w:val="313"/>
        </w:trPr>
        <w:tc>
          <w:tcPr>
            <w:tcW w:w="851" w:type="dxa"/>
            <w:vMerge w:val="restart"/>
            <w:vAlign w:val="center"/>
          </w:tcPr>
          <w:p w:rsidR="00646641" w:rsidRPr="0044086A" w:rsidRDefault="00646641" w:rsidP="002E7759">
            <w:pPr>
              <w:widowControl/>
              <w:adjustRightInd w:val="0"/>
              <w:snapToGrid w:val="0"/>
              <w:spacing w:line="240" w:lineRule="atLeast"/>
              <w:ind w:firstLineChars="49" w:firstLine="118"/>
              <w:jc w:val="center"/>
              <w:rPr>
                <w:rFonts w:ascii="仿宋_GB2312" w:eastAsia="仿宋_GB2312" w:hAnsi="仿宋" w:cs="宋体"/>
                <w:kern w:val="0"/>
                <w:sz w:val="24"/>
              </w:rPr>
            </w:pPr>
            <w:r>
              <w:rPr>
                <w:rFonts w:ascii="仿宋_GB2312" w:eastAsia="仿宋_GB2312" w:hAnsi="仿宋" w:cs="宋体" w:hint="eastAsia"/>
                <w:kern w:val="0"/>
                <w:sz w:val="24"/>
              </w:rPr>
              <w:t>2</w:t>
            </w:r>
          </w:p>
        </w:tc>
        <w:tc>
          <w:tcPr>
            <w:tcW w:w="1418" w:type="dxa"/>
            <w:vMerge w:val="restart"/>
            <w:vAlign w:val="center"/>
          </w:tcPr>
          <w:p w:rsidR="00646641" w:rsidRPr="0044086A" w:rsidRDefault="00646641" w:rsidP="002E7759">
            <w:pPr>
              <w:widowControl/>
              <w:adjustRightInd w:val="0"/>
              <w:snapToGrid w:val="0"/>
              <w:spacing w:line="240" w:lineRule="atLeast"/>
              <w:ind w:firstLineChars="49" w:firstLine="118"/>
              <w:rPr>
                <w:rFonts w:ascii="仿宋_GB2312" w:eastAsia="仿宋_GB2312" w:hAnsi="仿宋" w:cs="宋体"/>
                <w:kern w:val="0"/>
                <w:sz w:val="24"/>
              </w:rPr>
            </w:pPr>
            <w:r w:rsidRPr="0044086A">
              <w:rPr>
                <w:rFonts w:ascii="仿宋_GB2312" w:eastAsia="仿宋_GB2312" w:hAnsi="仿宋" w:cs="宋体" w:hint="eastAsia"/>
                <w:kern w:val="0"/>
                <w:sz w:val="24"/>
              </w:rPr>
              <w:t>体制机制</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2.1管理体制: 党组织的工作体制和运行机制健全；中职学校落实校长负责制，公办高职院校落实党委领导下的校长负责制；建立由行业、企业和社区成员参与的理(董)事会，发挥其咨询、协商、审议、监督等职能</w:t>
            </w:r>
          </w:p>
        </w:tc>
      </w:tr>
      <w:tr w:rsidR="00646641" w:rsidRPr="0044086A" w:rsidTr="002E7759">
        <w:trPr>
          <w:trHeight w:val="595"/>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2.2运行机制：定期召开教代会、学代会、团代会，维护师生参与学校相关事项的民主决策和监督的权利；建立专业建设委员会、教学工作委员会和学术委员会等，参与专业设置及教学、科研等事务管理；按照定编、定岗、定责原则，竞聘上岗、合理流动</w:t>
            </w:r>
          </w:p>
        </w:tc>
      </w:tr>
      <w:tr w:rsidR="00646641" w:rsidRPr="0044086A" w:rsidTr="002E7759">
        <w:trPr>
          <w:trHeight w:val="595"/>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2.3规划计划：广泛调研、科学论证，通过学校法定程序制订；按年度和部门分解规划任务，明确责任、细化分工，有效组织实施</w:t>
            </w:r>
          </w:p>
        </w:tc>
      </w:tr>
      <w:tr w:rsidR="00646641" w:rsidRPr="0044086A" w:rsidTr="002E7759">
        <w:trPr>
          <w:trHeight w:val="595"/>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2.4监控评价：建立人才培养质量监控机制及质量年度报告制度；引入行业、企业及专业机构等定期对学校进行评价</w:t>
            </w:r>
          </w:p>
        </w:tc>
      </w:tr>
      <w:tr w:rsidR="00646641" w:rsidRPr="0044086A" w:rsidTr="002E7759">
        <w:trPr>
          <w:trHeight w:val="290"/>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3</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章程制度</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3.1学校章程：依法制定具有学校特色的章程，促进学校依法治校、依法施教、科学发展</w:t>
            </w:r>
          </w:p>
        </w:tc>
      </w:tr>
      <w:tr w:rsidR="00646641" w:rsidRPr="0044086A" w:rsidTr="002E7759">
        <w:trPr>
          <w:trHeight w:val="24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3.2制度体系：教学、学生、后勤、安全、科研和人事、财务、资产等内部管理制度体现国家相关政策要求和学校特点，议事规则和办事程序健全</w:t>
            </w:r>
          </w:p>
        </w:tc>
      </w:tr>
      <w:tr w:rsidR="00646641" w:rsidRPr="0044086A" w:rsidTr="002E7759">
        <w:trPr>
          <w:trHeight w:val="24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3.3制度实施：内部管理机构及人员配置合理，职责明确，部门之间团结合作、协调高效；制度实施主体明确，责任明晰，流程规范，透明高效；建立问责机制，执行力强，落实、反馈机制畅通</w:t>
            </w:r>
          </w:p>
        </w:tc>
      </w:tr>
      <w:tr w:rsidR="00646641" w:rsidRPr="0044086A" w:rsidTr="002E7759">
        <w:trPr>
          <w:trHeight w:val="24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3.4信息化手段：制定和完善数字校园建设规划，建立健全信息化管理配套制度；校园网功能齐全、运行流畅；树立“大数据”意识，重视各类数据的记录、更新、采集和分析，学校教育、教学、科研、办公、生活服务等领域信息技术应用广泛</w:t>
            </w:r>
          </w:p>
        </w:tc>
      </w:tr>
      <w:tr w:rsidR="00646641" w:rsidRPr="0044086A" w:rsidTr="002E7759">
        <w:trPr>
          <w:trHeight w:val="247"/>
        </w:trPr>
        <w:tc>
          <w:tcPr>
            <w:tcW w:w="851" w:type="dxa"/>
            <w:vMerge w:val="restart"/>
            <w:vAlign w:val="center"/>
          </w:tcPr>
          <w:p w:rsidR="00646641" w:rsidRPr="0044086A" w:rsidRDefault="00646641" w:rsidP="002E7759">
            <w:pPr>
              <w:widowControl/>
              <w:adjustRightInd w:val="0"/>
              <w:snapToGrid w:val="0"/>
              <w:spacing w:line="240" w:lineRule="atLeast"/>
              <w:ind w:firstLineChars="49" w:firstLine="118"/>
              <w:jc w:val="center"/>
              <w:rPr>
                <w:rFonts w:ascii="仿宋_GB2312" w:eastAsia="仿宋_GB2312" w:hAnsi="仿宋" w:cs="宋体"/>
                <w:kern w:val="0"/>
                <w:sz w:val="24"/>
              </w:rPr>
            </w:pPr>
            <w:r>
              <w:rPr>
                <w:rFonts w:ascii="仿宋_GB2312" w:eastAsia="仿宋_GB2312" w:hAnsi="仿宋" w:cs="宋体" w:hint="eastAsia"/>
                <w:kern w:val="0"/>
                <w:sz w:val="24"/>
              </w:rPr>
              <w:t>4</w:t>
            </w:r>
          </w:p>
        </w:tc>
        <w:tc>
          <w:tcPr>
            <w:tcW w:w="1418" w:type="dxa"/>
            <w:vMerge w:val="restart"/>
            <w:vAlign w:val="center"/>
          </w:tcPr>
          <w:p w:rsidR="00646641" w:rsidRPr="0044086A" w:rsidRDefault="00646641" w:rsidP="002E7759">
            <w:pPr>
              <w:widowControl/>
              <w:adjustRightInd w:val="0"/>
              <w:snapToGrid w:val="0"/>
              <w:spacing w:line="240" w:lineRule="atLeast"/>
              <w:ind w:firstLineChars="49" w:firstLine="118"/>
              <w:jc w:val="left"/>
              <w:rPr>
                <w:rFonts w:ascii="仿宋_GB2312" w:eastAsia="仿宋_GB2312" w:hAnsi="仿宋" w:cs="宋体"/>
                <w:kern w:val="0"/>
                <w:sz w:val="24"/>
              </w:rPr>
            </w:pPr>
            <w:r w:rsidRPr="0044086A">
              <w:rPr>
                <w:rFonts w:ascii="仿宋_GB2312" w:eastAsia="仿宋_GB2312" w:hAnsi="仿宋" w:cs="宋体" w:hint="eastAsia"/>
                <w:kern w:val="0"/>
                <w:sz w:val="24"/>
              </w:rPr>
              <w:t>教师队伍</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4.1专任教师：身心健康，师德高尚，教学、科研、实践能力强，对学校的认同感、归属感、幸福感高；专兼职教师数量、结构满足教学需要，专任专业</w:t>
            </w:r>
            <w:r>
              <w:rPr>
                <w:rFonts w:ascii="仿宋_GB2312" w:eastAsia="仿宋_GB2312" w:hAnsi="仿宋" w:cs="宋体" w:hint="eastAsia"/>
                <w:kern w:val="0"/>
                <w:sz w:val="24"/>
              </w:rPr>
              <w:t>课</w:t>
            </w:r>
            <w:r w:rsidRPr="0044086A">
              <w:rPr>
                <w:rFonts w:ascii="仿宋_GB2312" w:eastAsia="仿宋_GB2312" w:hAnsi="仿宋" w:cs="宋体" w:hint="eastAsia"/>
                <w:kern w:val="0"/>
                <w:sz w:val="24"/>
              </w:rPr>
              <w:t>教师有企业实践经历，有专任教师在行业企业及社会组织中担任职务；教师培</w:t>
            </w:r>
            <w:r w:rsidRPr="0044086A">
              <w:rPr>
                <w:rFonts w:ascii="仿宋_GB2312" w:eastAsia="仿宋_GB2312" w:hAnsi="仿宋" w:cs="宋体" w:hint="eastAsia"/>
                <w:kern w:val="0"/>
                <w:sz w:val="24"/>
              </w:rPr>
              <w:lastRenderedPageBreak/>
              <w:t>训经费不低于年度公用经费的5%</w:t>
            </w:r>
          </w:p>
        </w:tc>
      </w:tr>
      <w:tr w:rsidR="00646641" w:rsidRPr="0044086A" w:rsidTr="002E7759">
        <w:trPr>
          <w:trHeight w:val="24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4.2兼职教师：引进企业优秀专业技术人才担任兼职教师，严把聘任、培训、考核关，发挥其在专业建设和课程教学中的重要作用</w:t>
            </w:r>
          </w:p>
        </w:tc>
      </w:tr>
      <w:tr w:rsidR="00646641" w:rsidRPr="0044086A" w:rsidTr="002E7759">
        <w:trPr>
          <w:trHeight w:val="247"/>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4.3班主任（辅导员）：每班配备1名班主任，高职按不低于1:200的标准配备专职辅导员；选聘、培训、考核等工作规范</w:t>
            </w:r>
          </w:p>
        </w:tc>
      </w:tr>
      <w:tr w:rsidR="00646641" w:rsidRPr="0044086A" w:rsidTr="002E7759">
        <w:trPr>
          <w:trHeight w:val="60"/>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5</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color w:val="FF0000"/>
                <w:kern w:val="0"/>
                <w:sz w:val="24"/>
              </w:rPr>
            </w:pPr>
            <w:r w:rsidRPr="0044086A">
              <w:rPr>
                <w:rFonts w:ascii="仿宋_GB2312" w:eastAsia="仿宋_GB2312" w:hAnsi="仿宋" w:cs="宋体" w:hint="eastAsia"/>
                <w:kern w:val="0"/>
                <w:sz w:val="24"/>
              </w:rPr>
              <w:t>教学管理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5.1专业设置：专业设置与区域产业紧密、对接度高，人才培养方案制订科学、动态调整</w:t>
            </w:r>
          </w:p>
        </w:tc>
      </w:tr>
      <w:tr w:rsidR="00646641" w:rsidRPr="0044086A" w:rsidTr="002E7759">
        <w:trPr>
          <w:trHeight w:val="60"/>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5.2课程教材：课程内容与职业标准对接；专业标准及课程标准执行到位；课程设置及教学安排符合国家有关规定；课程开设严格执行实施性教学计划，国家规定的必修课程开齐开足；教材开发、选用、采购等程序规范；优质数字化教学资源应用普遍</w:t>
            </w:r>
          </w:p>
        </w:tc>
      </w:tr>
      <w:tr w:rsidR="00646641" w:rsidRPr="0044086A" w:rsidTr="002E7759">
        <w:trPr>
          <w:trHeight w:val="891"/>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5.</w:t>
            </w:r>
            <w:r>
              <w:rPr>
                <w:rFonts w:ascii="仿宋_GB2312" w:eastAsia="仿宋_GB2312" w:hAnsi="仿宋" w:cs="宋体" w:hint="eastAsia"/>
                <w:kern w:val="0"/>
                <w:sz w:val="24"/>
              </w:rPr>
              <w:t>3</w:t>
            </w:r>
            <w:r w:rsidRPr="0044086A">
              <w:rPr>
                <w:rFonts w:ascii="仿宋_GB2312" w:eastAsia="仿宋_GB2312" w:hAnsi="仿宋" w:cs="宋体" w:hint="eastAsia"/>
                <w:kern w:val="0"/>
                <w:sz w:val="24"/>
              </w:rPr>
              <w:t>教学常规：教育教学活动安排合理、教学运行有序，教学行为规范、教学方法得当，学生学习积极主动、学习氛围浓厚；设置专门的教学质量监控机构，定期检查、反馈并持续改进教学质量；建立教师工作质量评价机制；教学档案齐全，使用便捷</w:t>
            </w:r>
          </w:p>
        </w:tc>
      </w:tr>
      <w:tr w:rsidR="00646641" w:rsidRPr="0044086A" w:rsidTr="002E7759">
        <w:trPr>
          <w:trHeight w:val="479"/>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5.</w:t>
            </w:r>
            <w:r>
              <w:rPr>
                <w:rFonts w:ascii="仿宋_GB2312" w:eastAsia="仿宋_GB2312" w:hAnsi="仿宋" w:cs="宋体" w:hint="eastAsia"/>
                <w:kern w:val="0"/>
                <w:sz w:val="24"/>
              </w:rPr>
              <w:t>4</w:t>
            </w:r>
            <w:r w:rsidRPr="0044086A">
              <w:rPr>
                <w:rFonts w:ascii="仿宋_GB2312" w:eastAsia="仿宋_GB2312" w:hAnsi="仿宋" w:cs="宋体" w:hint="eastAsia"/>
                <w:kern w:val="0"/>
                <w:sz w:val="24"/>
              </w:rPr>
              <w:t>实习实训：顶岗实习岗位与所学专业面向的岗位群基本一致，强化育人为目标的实习过程管理和考核评价，实习时间、场所、待遇等符合国家要求；落实实习过程管理责任制，完善实习信息通报、实习责任保险等制度</w:t>
            </w:r>
          </w:p>
        </w:tc>
      </w:tr>
      <w:tr w:rsidR="00646641" w:rsidRPr="0044086A" w:rsidTr="002E7759">
        <w:trPr>
          <w:trHeight w:val="479"/>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5.</w:t>
            </w:r>
            <w:r>
              <w:rPr>
                <w:rFonts w:ascii="仿宋_GB2312" w:eastAsia="仿宋_GB2312" w:hAnsi="仿宋" w:cs="宋体" w:hint="eastAsia"/>
                <w:kern w:val="0"/>
                <w:sz w:val="24"/>
              </w:rPr>
              <w:t>5</w:t>
            </w:r>
            <w:r w:rsidRPr="0044086A">
              <w:rPr>
                <w:rFonts w:ascii="仿宋_GB2312" w:eastAsia="仿宋_GB2312" w:hAnsi="仿宋" w:cs="宋体" w:hint="eastAsia"/>
                <w:kern w:val="0"/>
                <w:sz w:val="24"/>
              </w:rPr>
              <w:t>教学质量：学生身心健康，职业道德良好，人文素养高，职业能力强，毕业证书与职业资格证书的“双证书”获得率高</w:t>
            </w:r>
          </w:p>
        </w:tc>
      </w:tr>
      <w:tr w:rsidR="00646641" w:rsidRPr="0044086A" w:rsidTr="002E7759">
        <w:trPr>
          <w:trHeight w:val="421"/>
        </w:trPr>
        <w:tc>
          <w:tcPr>
            <w:tcW w:w="851" w:type="dxa"/>
            <w:vMerge w:val="restart"/>
            <w:vAlign w:val="center"/>
          </w:tcPr>
          <w:p w:rsidR="00646641" w:rsidRPr="0044086A" w:rsidRDefault="00646641" w:rsidP="002E7759">
            <w:pPr>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6</w:t>
            </w:r>
          </w:p>
        </w:tc>
        <w:tc>
          <w:tcPr>
            <w:tcW w:w="1418" w:type="dxa"/>
            <w:vMerge w:val="restart"/>
            <w:vAlign w:val="center"/>
          </w:tcPr>
          <w:p w:rsidR="00646641" w:rsidRPr="0044086A" w:rsidRDefault="00646641" w:rsidP="002E7759">
            <w:pPr>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学生管理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6.1招生管理：严格执行招生制度；无虚假宣传和有偿招生等违规行为</w:t>
            </w:r>
          </w:p>
        </w:tc>
      </w:tr>
      <w:tr w:rsidR="00646641" w:rsidRPr="0044086A" w:rsidTr="002E7759">
        <w:trPr>
          <w:trHeight w:val="625"/>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6.2学籍管理：严格执行学籍管理制度，注册、转学、退学、毕业等环节管理规范，学籍档案内容真实齐全，专人管理</w:t>
            </w:r>
          </w:p>
        </w:tc>
      </w:tr>
      <w:tr w:rsidR="00646641" w:rsidRPr="0044086A" w:rsidTr="002E7759">
        <w:trPr>
          <w:trHeight w:val="232"/>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6.3常规管理：制定学生日常行为管理规范，宣传教育到位、</w:t>
            </w:r>
            <w:r>
              <w:rPr>
                <w:rFonts w:ascii="仿宋_GB2312" w:eastAsia="仿宋_GB2312" w:hAnsi="仿宋" w:cs="宋体" w:hint="eastAsia"/>
                <w:kern w:val="0"/>
                <w:sz w:val="24"/>
              </w:rPr>
              <w:t>评价考核</w:t>
            </w:r>
            <w:r w:rsidRPr="0044086A">
              <w:rPr>
                <w:rFonts w:ascii="仿宋_GB2312" w:eastAsia="仿宋_GB2312" w:hAnsi="仿宋" w:cs="宋体" w:hint="eastAsia"/>
                <w:kern w:val="0"/>
                <w:sz w:val="24"/>
              </w:rPr>
              <w:t>制度健全；文明礼仪养成教育活动生动有效，学生举止文明、行为规范，自我教育、自我管理、自我服务能力强；校团委、学生会、学生社团等组织机构健全，活动覆盖面广，在全面提高学生素质、活跃校园文化生活等方面发挥重要作用</w:t>
            </w:r>
          </w:p>
        </w:tc>
      </w:tr>
      <w:tr w:rsidR="00646641" w:rsidRPr="0044086A" w:rsidTr="002E7759">
        <w:trPr>
          <w:trHeight w:val="232"/>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6.4奖助体系：落实学费减免、补贴政策以及国家“奖、助、勤、贷”等管理办法，经费发放规范有序，档案齐全</w:t>
            </w:r>
          </w:p>
        </w:tc>
      </w:tr>
      <w:tr w:rsidR="00646641" w:rsidRPr="0044086A" w:rsidTr="002E7759">
        <w:trPr>
          <w:trHeight w:val="388"/>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6.5就业创业：配备专职</w:t>
            </w:r>
            <w:r>
              <w:rPr>
                <w:rFonts w:ascii="仿宋_GB2312" w:eastAsia="仿宋_GB2312" w:hAnsi="仿宋" w:cs="宋体" w:hint="eastAsia"/>
                <w:kern w:val="0"/>
                <w:sz w:val="24"/>
              </w:rPr>
              <w:t>职</w:t>
            </w:r>
            <w:r w:rsidRPr="0044086A">
              <w:rPr>
                <w:rFonts w:ascii="仿宋_GB2312" w:eastAsia="仿宋_GB2312" w:hAnsi="仿宋" w:cs="宋体" w:hint="eastAsia"/>
                <w:kern w:val="0"/>
                <w:sz w:val="24"/>
              </w:rPr>
              <w:t>业指导教师团队，开设</w:t>
            </w:r>
            <w:r>
              <w:rPr>
                <w:rFonts w:ascii="仿宋_GB2312" w:eastAsia="仿宋_GB2312" w:hAnsi="仿宋" w:cs="宋体" w:hint="eastAsia"/>
                <w:kern w:val="0"/>
                <w:sz w:val="24"/>
              </w:rPr>
              <w:t>职</w:t>
            </w:r>
            <w:r w:rsidRPr="0044086A">
              <w:rPr>
                <w:rFonts w:ascii="仿宋_GB2312" w:eastAsia="仿宋_GB2312" w:hAnsi="仿宋" w:cs="宋体" w:hint="eastAsia"/>
                <w:kern w:val="0"/>
                <w:sz w:val="24"/>
              </w:rPr>
              <w:t>业指导课程，多渠道为学生提供就业创业和升学服务，维护毕业生的合法权益；学生就业创业能力强，就业率及就业质量高</w:t>
            </w:r>
          </w:p>
        </w:tc>
      </w:tr>
      <w:tr w:rsidR="00646641" w:rsidRPr="0044086A" w:rsidTr="002E7759">
        <w:trPr>
          <w:trHeight w:val="232"/>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6.6</w:t>
            </w:r>
            <w:r w:rsidRPr="008D7C85">
              <w:rPr>
                <w:rFonts w:ascii="仿宋_GB2312" w:eastAsia="仿宋_GB2312" w:hAnsi="仿宋" w:cs="宋体" w:hint="eastAsia"/>
                <w:color w:val="000000"/>
                <w:kern w:val="0"/>
                <w:sz w:val="24"/>
              </w:rPr>
              <w:t>健康</w:t>
            </w:r>
            <w:r>
              <w:rPr>
                <w:rFonts w:ascii="仿宋_GB2312" w:eastAsia="仿宋_GB2312" w:hAnsi="仿宋" w:cs="宋体" w:hint="eastAsia"/>
                <w:color w:val="000000"/>
                <w:kern w:val="0"/>
                <w:sz w:val="24"/>
              </w:rPr>
              <w:t>管理</w:t>
            </w:r>
            <w:r w:rsidRPr="000B6E86">
              <w:rPr>
                <w:rFonts w:ascii="仿宋_GB2312" w:hAnsi="仿宋" w:hint="eastAsia"/>
                <w:color w:val="000000"/>
                <w:kern w:val="0"/>
                <w:sz w:val="24"/>
              </w:rPr>
              <w:t>：</w:t>
            </w:r>
            <w:r w:rsidRPr="0044086A">
              <w:rPr>
                <w:rFonts w:ascii="仿宋_GB2312" w:eastAsia="仿宋_GB2312" w:hAnsi="仿宋" w:cs="宋体" w:hint="eastAsia"/>
                <w:kern w:val="0"/>
                <w:sz w:val="24"/>
              </w:rPr>
              <w:t>开展丰富多彩的体育活动</w:t>
            </w:r>
            <w:r>
              <w:rPr>
                <w:rFonts w:ascii="仿宋_GB2312" w:eastAsia="仿宋_GB2312" w:hAnsi="仿宋" w:cs="宋体" w:hint="eastAsia"/>
                <w:kern w:val="0"/>
                <w:sz w:val="24"/>
              </w:rPr>
              <w:t>，</w:t>
            </w:r>
            <w:r w:rsidRPr="0044086A">
              <w:rPr>
                <w:rFonts w:ascii="仿宋_GB2312" w:eastAsia="仿宋_GB2312" w:hAnsi="仿宋" w:cs="宋体" w:hint="eastAsia"/>
                <w:kern w:val="0"/>
                <w:sz w:val="24"/>
              </w:rPr>
              <w:t>建立医务室、心理咨询室，配备专兼职专业人员，为学生身心健康提供服务</w:t>
            </w:r>
          </w:p>
        </w:tc>
      </w:tr>
      <w:tr w:rsidR="00646641" w:rsidRPr="0044086A" w:rsidTr="002E7759">
        <w:trPr>
          <w:trHeight w:val="355"/>
        </w:trPr>
        <w:tc>
          <w:tcPr>
            <w:tcW w:w="851" w:type="dxa"/>
            <w:vMerge w:val="restart"/>
            <w:vAlign w:val="center"/>
          </w:tcPr>
          <w:p w:rsidR="00646641" w:rsidRDefault="00646641" w:rsidP="002E7759">
            <w:pPr>
              <w:adjustRightInd w:val="0"/>
              <w:snapToGrid w:val="0"/>
              <w:spacing w:line="240" w:lineRule="atLeast"/>
              <w:ind w:firstLineChars="49" w:firstLine="118"/>
              <w:jc w:val="center"/>
              <w:rPr>
                <w:rFonts w:ascii="仿宋_GB2312" w:eastAsia="仿宋_GB2312" w:hAnsi="仿宋" w:cs="宋体"/>
                <w:kern w:val="0"/>
                <w:sz w:val="24"/>
              </w:rPr>
            </w:pPr>
            <w:r>
              <w:rPr>
                <w:rFonts w:ascii="仿宋_GB2312" w:eastAsia="仿宋_GB2312" w:hAnsi="仿宋" w:cs="宋体" w:hint="eastAsia"/>
                <w:kern w:val="0"/>
                <w:sz w:val="24"/>
              </w:rPr>
              <w:t>7</w:t>
            </w:r>
          </w:p>
        </w:tc>
        <w:tc>
          <w:tcPr>
            <w:tcW w:w="1418" w:type="dxa"/>
            <w:vMerge w:val="restart"/>
            <w:vAlign w:val="center"/>
          </w:tcPr>
          <w:p w:rsidR="00646641" w:rsidRPr="0044086A" w:rsidRDefault="00646641" w:rsidP="002E7759">
            <w:pPr>
              <w:adjustRightInd w:val="0"/>
              <w:snapToGrid w:val="0"/>
              <w:spacing w:line="240" w:lineRule="atLeast"/>
              <w:ind w:firstLineChars="49" w:firstLine="118"/>
              <w:jc w:val="left"/>
              <w:rPr>
                <w:rFonts w:ascii="仿宋_GB2312" w:eastAsia="仿宋_GB2312" w:hAnsi="仿宋" w:cs="宋体"/>
                <w:kern w:val="0"/>
                <w:sz w:val="24"/>
              </w:rPr>
            </w:pPr>
            <w:r w:rsidRPr="0044086A">
              <w:rPr>
                <w:rFonts w:ascii="仿宋_GB2312" w:eastAsia="仿宋_GB2312" w:hAnsi="仿宋" w:cs="宋体" w:hint="eastAsia"/>
                <w:kern w:val="0"/>
                <w:sz w:val="24"/>
              </w:rPr>
              <w:t>财务管理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C4281B">
              <w:rPr>
                <w:rFonts w:ascii="仿宋_GB2312" w:eastAsia="仿宋_GB2312" w:hAnsi="仿宋" w:cs="宋体" w:hint="eastAsia"/>
                <w:kern w:val="0"/>
                <w:sz w:val="24"/>
              </w:rPr>
              <w:t>7.1</w:t>
            </w:r>
            <w:r>
              <w:rPr>
                <w:rFonts w:ascii="仿宋_GB2312" w:eastAsia="仿宋_GB2312" w:hAnsi="仿宋" w:cs="宋体" w:hint="eastAsia"/>
                <w:kern w:val="0"/>
                <w:sz w:val="24"/>
              </w:rPr>
              <w:t>基础工作：依法设置机构</w:t>
            </w:r>
            <w:r w:rsidRPr="00C4281B">
              <w:rPr>
                <w:rFonts w:ascii="仿宋_GB2312" w:eastAsia="仿宋_GB2312" w:hAnsi="仿宋" w:cs="宋体" w:hint="eastAsia"/>
                <w:kern w:val="0"/>
                <w:sz w:val="24"/>
              </w:rPr>
              <w:t>、配备人员；基础工作规范，技术手段先进；财务制度健全且执行严格有效。</w:t>
            </w:r>
          </w:p>
        </w:tc>
      </w:tr>
      <w:tr w:rsidR="00646641" w:rsidRPr="0044086A" w:rsidTr="002E7759">
        <w:trPr>
          <w:trHeight w:val="355"/>
        </w:trPr>
        <w:tc>
          <w:tcPr>
            <w:tcW w:w="851" w:type="dxa"/>
            <w:vMerge/>
            <w:vAlign w:val="center"/>
          </w:tcPr>
          <w:p w:rsidR="00646641" w:rsidRPr="0044086A" w:rsidRDefault="00646641" w:rsidP="002E7759">
            <w:pPr>
              <w:widowControl/>
              <w:adjustRightInd w:val="0"/>
              <w:snapToGrid w:val="0"/>
              <w:spacing w:line="240" w:lineRule="atLeast"/>
              <w:ind w:firstLineChars="49" w:firstLine="118"/>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ind w:firstLineChars="49" w:firstLine="118"/>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C4281B">
              <w:rPr>
                <w:rFonts w:ascii="仿宋_GB2312" w:eastAsia="仿宋_GB2312" w:hAnsi="仿宋" w:cs="宋体" w:hint="eastAsia"/>
                <w:kern w:val="0"/>
                <w:sz w:val="24"/>
              </w:rPr>
              <w:t>7.2预算管理：预算编制科学合理，预算执行规范有效，决算编制真实完整。</w:t>
            </w:r>
          </w:p>
        </w:tc>
      </w:tr>
      <w:tr w:rsidR="00646641" w:rsidRPr="0044086A" w:rsidTr="002E7759">
        <w:trPr>
          <w:trHeight w:val="304"/>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C4281B">
              <w:rPr>
                <w:rFonts w:ascii="仿宋_GB2312" w:eastAsia="仿宋_GB2312" w:hAnsi="仿宋" w:cs="宋体" w:hint="eastAsia"/>
                <w:kern w:val="0"/>
                <w:sz w:val="24"/>
              </w:rPr>
              <w:t>7.3收支管理：依法组织收入；严格管控支出。学生资助过程控制严谨。专项资金专款专用，专账管理。</w:t>
            </w:r>
          </w:p>
        </w:tc>
      </w:tr>
      <w:tr w:rsidR="00646641" w:rsidRPr="0044086A" w:rsidTr="002E7759">
        <w:trPr>
          <w:trHeight w:val="304"/>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9221BC" w:rsidRDefault="00646641" w:rsidP="002E7759">
            <w:pPr>
              <w:widowControl/>
              <w:adjustRightInd w:val="0"/>
              <w:snapToGrid w:val="0"/>
              <w:spacing w:line="240" w:lineRule="atLeast"/>
              <w:jc w:val="left"/>
              <w:rPr>
                <w:rFonts w:ascii="仿宋_GB2312" w:eastAsia="仿宋_GB2312" w:hAnsi="仿宋" w:cs="宋体"/>
                <w:kern w:val="0"/>
                <w:sz w:val="24"/>
              </w:rPr>
            </w:pPr>
            <w:r w:rsidRPr="00C4281B">
              <w:rPr>
                <w:rFonts w:ascii="仿宋_GB2312" w:eastAsia="仿宋_GB2312" w:hAnsi="仿宋" w:cs="宋体" w:hint="eastAsia"/>
                <w:kern w:val="0"/>
                <w:sz w:val="24"/>
              </w:rPr>
              <w:t>7.4内部控制：建立完善学校内部控制机制，依法公开财务信息，财务风险可控。</w:t>
            </w:r>
          </w:p>
        </w:tc>
      </w:tr>
      <w:tr w:rsidR="00646641" w:rsidRPr="0044086A" w:rsidTr="002E7759">
        <w:trPr>
          <w:trHeight w:val="263"/>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C4281B">
              <w:rPr>
                <w:rFonts w:ascii="仿宋_GB2312" w:eastAsia="仿宋_GB2312" w:hAnsi="仿宋" w:cs="宋体" w:hint="eastAsia"/>
                <w:kern w:val="0"/>
                <w:sz w:val="24"/>
              </w:rPr>
              <w:t>7.5绩效评价：科学设定绩效目标，有序推进绩效管理，逐步加强绩效考评结果的应用。</w:t>
            </w:r>
          </w:p>
        </w:tc>
      </w:tr>
      <w:tr w:rsidR="00646641" w:rsidRPr="0044086A" w:rsidTr="002E7759">
        <w:trPr>
          <w:trHeight w:val="569"/>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8</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后勤管理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8.1资产管理：根据有关规定和学校发展需求，科学、合理配置资源;严格执行国家物资采购的有关规定，采购程序公开、公平、透明、规范；资产登记、使用、维护、维修、折旧、报废等工作手续完备、程序规范</w:t>
            </w:r>
          </w:p>
        </w:tc>
      </w:tr>
      <w:tr w:rsidR="00646641" w:rsidRPr="0044086A" w:rsidTr="002E7759">
        <w:trPr>
          <w:trHeight w:val="569"/>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8.2校园管理：校园环境绿化、净化、美化；教室、实训场地、餐厅、宿舍、卫生间等公共场所干净整洁；校园禁烟、控烟措施有力</w:t>
            </w:r>
          </w:p>
        </w:tc>
      </w:tr>
      <w:tr w:rsidR="00646641" w:rsidRPr="0044086A" w:rsidTr="002E7759">
        <w:trPr>
          <w:trHeight w:val="621"/>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8.3膳食管理：管理制度健全、职责明确；从业人员均持健康证上岗；严把食品采购、储存、加工、留样关，严把供餐卫生质量关；膳食</w:t>
            </w:r>
            <w:r w:rsidRPr="0044086A">
              <w:rPr>
                <w:rFonts w:ascii="仿宋_GB2312" w:eastAsia="仿宋_GB2312" w:hAnsi="仿宋" w:hint="eastAsia"/>
                <w:sz w:val="24"/>
              </w:rPr>
              <w:t>价格合理、管理民主</w:t>
            </w:r>
            <w:r w:rsidRPr="0044086A">
              <w:rPr>
                <w:rFonts w:ascii="仿宋_GB2312" w:eastAsia="仿宋_GB2312" w:hAnsi="仿宋" w:cs="宋体" w:hint="eastAsia"/>
                <w:kern w:val="0"/>
                <w:sz w:val="24"/>
              </w:rPr>
              <w:t>；学生用餐文明、注重节俭</w:t>
            </w:r>
          </w:p>
        </w:tc>
      </w:tr>
      <w:tr w:rsidR="00646641" w:rsidRPr="0044086A" w:rsidTr="002E7759">
        <w:trPr>
          <w:trHeight w:val="605"/>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9</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安全管理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9.1安全管理体系：设立安全管理机构，落实“一岗双责”安全责任制，水电、消防、食品、交通等领域和实习实训、大型活动、网络信息等环节的安全管理措施到位</w:t>
            </w:r>
          </w:p>
        </w:tc>
      </w:tr>
      <w:tr w:rsidR="00646641" w:rsidRPr="0044086A" w:rsidTr="002E7759">
        <w:trPr>
          <w:trHeight w:val="543"/>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9.2安全预防:建立人防、物防、技防“三防一体”的安全防范系统，设备设施达到国家标准要求，安全教育、演练、检查常态化，及时消除隐患</w:t>
            </w:r>
          </w:p>
        </w:tc>
      </w:tr>
      <w:tr w:rsidR="00646641" w:rsidRPr="0044086A" w:rsidTr="002E7759">
        <w:trPr>
          <w:trHeight w:val="362"/>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9.3应急处置：各项预案齐全、科学、可行，处置得当</w:t>
            </w:r>
          </w:p>
        </w:tc>
      </w:tr>
      <w:tr w:rsidR="00646641" w:rsidRPr="0044086A" w:rsidTr="002E7759">
        <w:trPr>
          <w:trHeight w:val="232"/>
        </w:trPr>
        <w:tc>
          <w:tcPr>
            <w:tcW w:w="851"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Pr>
                <w:rFonts w:ascii="仿宋_GB2312" w:eastAsia="仿宋_GB2312" w:hAnsi="仿宋" w:cs="宋体" w:hint="eastAsia"/>
                <w:kern w:val="0"/>
                <w:sz w:val="24"/>
              </w:rPr>
              <w:t>10</w:t>
            </w:r>
          </w:p>
        </w:tc>
        <w:tc>
          <w:tcPr>
            <w:tcW w:w="1418" w:type="dxa"/>
            <w:vMerge w:val="restart"/>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r w:rsidRPr="0044086A">
              <w:rPr>
                <w:rFonts w:ascii="仿宋_GB2312" w:eastAsia="仿宋_GB2312" w:hAnsi="仿宋" w:cs="宋体" w:hint="eastAsia"/>
                <w:kern w:val="0"/>
                <w:sz w:val="24"/>
              </w:rPr>
              <w:t>科研管理</w:t>
            </w: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10.1教科研：建立相关管理机构，建立健全教科研制度，加强学术规范管理，搭建多元化的教科研平台，定期组织教师参与教科研活动，经费保障到位、使用合理合规</w:t>
            </w:r>
            <w:r w:rsidRPr="0044086A" w:rsidDel="008A0A7A">
              <w:rPr>
                <w:rFonts w:ascii="仿宋_GB2312" w:eastAsia="仿宋_GB2312" w:hAnsi="仿宋" w:cs="宋体" w:hint="eastAsia"/>
                <w:kern w:val="0"/>
                <w:sz w:val="24"/>
              </w:rPr>
              <w:t xml:space="preserve"> </w:t>
            </w:r>
          </w:p>
        </w:tc>
      </w:tr>
      <w:tr w:rsidR="00646641" w:rsidRPr="0044086A" w:rsidTr="002E7759">
        <w:trPr>
          <w:trHeight w:val="420"/>
        </w:trPr>
        <w:tc>
          <w:tcPr>
            <w:tcW w:w="851" w:type="dxa"/>
            <w:vMerge/>
            <w:vAlign w:val="center"/>
          </w:tcPr>
          <w:p w:rsidR="00646641" w:rsidRPr="0044086A" w:rsidRDefault="00646641" w:rsidP="002E7759">
            <w:pPr>
              <w:widowControl/>
              <w:adjustRightInd w:val="0"/>
              <w:snapToGrid w:val="0"/>
              <w:spacing w:line="240" w:lineRule="atLeast"/>
              <w:jc w:val="center"/>
              <w:rPr>
                <w:rFonts w:ascii="仿宋_GB2312" w:eastAsia="仿宋_GB2312" w:hAnsi="仿宋" w:cs="宋体"/>
                <w:kern w:val="0"/>
                <w:sz w:val="24"/>
              </w:rPr>
            </w:pPr>
          </w:p>
        </w:tc>
        <w:tc>
          <w:tcPr>
            <w:tcW w:w="1418" w:type="dxa"/>
            <w:vMerge/>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p>
        </w:tc>
        <w:tc>
          <w:tcPr>
            <w:tcW w:w="12474" w:type="dxa"/>
            <w:vAlign w:val="center"/>
          </w:tcPr>
          <w:p w:rsidR="00646641" w:rsidRPr="0044086A" w:rsidRDefault="00646641" w:rsidP="002E7759">
            <w:pPr>
              <w:widowControl/>
              <w:adjustRightInd w:val="0"/>
              <w:snapToGrid w:val="0"/>
              <w:spacing w:line="240" w:lineRule="atLeast"/>
              <w:jc w:val="left"/>
              <w:rPr>
                <w:rFonts w:ascii="仿宋_GB2312" w:eastAsia="仿宋_GB2312" w:hAnsi="仿宋" w:cs="宋体"/>
                <w:kern w:val="0"/>
                <w:sz w:val="24"/>
              </w:rPr>
            </w:pPr>
            <w:r w:rsidRPr="0044086A">
              <w:rPr>
                <w:rFonts w:ascii="仿宋_GB2312" w:eastAsia="仿宋_GB2312" w:hAnsi="仿宋" w:cs="宋体" w:hint="eastAsia"/>
                <w:kern w:val="0"/>
                <w:sz w:val="24"/>
              </w:rPr>
              <w:t>10.2科技服务：面向社区、行业、企业、其他教育机构开放资源，资源利用率高；与行业企业共同开展技术开发、产品设计等科技服务；广泛开展新型职业农民、农村转移劳动力、在职职工、失业人员、残疾人、退役士兵等群体的职业教育培训，满意度高</w:t>
            </w:r>
          </w:p>
        </w:tc>
      </w:tr>
    </w:tbl>
    <w:p w:rsidR="00646641" w:rsidRPr="000521F6" w:rsidRDefault="00646641" w:rsidP="00646641">
      <w:pPr>
        <w:adjustRightInd w:val="0"/>
        <w:snapToGrid w:val="0"/>
        <w:spacing w:line="560" w:lineRule="exact"/>
        <w:outlineLvl w:val="0"/>
        <w:rPr>
          <w:b/>
        </w:rPr>
      </w:pPr>
    </w:p>
    <w:p w:rsidR="00646641" w:rsidRPr="00641C14" w:rsidRDefault="00646641" w:rsidP="00646641"/>
    <w:p w:rsidR="00646641" w:rsidRPr="00646641" w:rsidRDefault="00646641" w:rsidP="00646641">
      <w:pPr>
        <w:widowControl/>
        <w:shd w:val="clear" w:color="auto" w:fill="FFFFFF"/>
        <w:spacing w:line="460" w:lineRule="atLeast"/>
        <w:jc w:val="left"/>
        <w:rPr>
          <w:rFonts w:ascii="Helvetica" w:eastAsia="宋体" w:hAnsi="Helvetica" w:cs="Helvetica"/>
          <w:color w:val="3E3E3E"/>
          <w:kern w:val="0"/>
          <w:sz w:val="24"/>
          <w:szCs w:val="24"/>
        </w:rPr>
      </w:pPr>
    </w:p>
    <w:sectPr w:rsidR="00646641" w:rsidRPr="00646641" w:rsidSect="00646641">
      <w:pgSz w:w="16838" w:h="11906" w:orient="landscape"/>
      <w:pgMar w:top="1134" w:right="1440" w:bottom="1134"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053" w:rsidRDefault="00FC6053" w:rsidP="003F7257">
      <w:r>
        <w:separator/>
      </w:r>
    </w:p>
  </w:endnote>
  <w:endnote w:type="continuationSeparator" w:id="0">
    <w:p w:rsidR="00FC6053" w:rsidRDefault="00FC6053" w:rsidP="003F72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885850"/>
      <w:docPartObj>
        <w:docPartGallery w:val="Page Numbers (Bottom of Page)"/>
        <w:docPartUnique/>
      </w:docPartObj>
    </w:sdtPr>
    <w:sdtContent>
      <w:p w:rsidR="003F7257" w:rsidRDefault="00BD015B" w:rsidP="003F7257">
        <w:pPr>
          <w:pStyle w:val="a5"/>
          <w:jc w:val="center"/>
        </w:pPr>
        <w:r>
          <w:fldChar w:fldCharType="begin"/>
        </w:r>
        <w:r w:rsidR="003F7257">
          <w:instrText>PAGE   \* MERGEFORMAT</w:instrText>
        </w:r>
        <w:r>
          <w:fldChar w:fldCharType="separate"/>
        </w:r>
        <w:r w:rsidR="002F6AC6" w:rsidRPr="002F6AC6">
          <w:rPr>
            <w:noProof/>
            <w:lang w:val="zh-CN"/>
          </w:rPr>
          <w:t>1</w:t>
        </w:r>
        <w:r>
          <w:fldChar w:fldCharType="end"/>
        </w:r>
      </w:p>
    </w:sdtContent>
  </w:sdt>
  <w:p w:rsidR="003F7257" w:rsidRDefault="003F72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053" w:rsidRDefault="00FC6053" w:rsidP="003F7257">
      <w:r>
        <w:separator/>
      </w:r>
    </w:p>
  </w:footnote>
  <w:footnote w:type="continuationSeparator" w:id="0">
    <w:p w:rsidR="00FC6053" w:rsidRDefault="00FC6053" w:rsidP="003F72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FF9"/>
    <w:rsid w:val="001440E7"/>
    <w:rsid w:val="0015701D"/>
    <w:rsid w:val="002C1C91"/>
    <w:rsid w:val="002F6AC6"/>
    <w:rsid w:val="003F7257"/>
    <w:rsid w:val="004F3FF9"/>
    <w:rsid w:val="0051206E"/>
    <w:rsid w:val="00613BAF"/>
    <w:rsid w:val="00646641"/>
    <w:rsid w:val="007A19DB"/>
    <w:rsid w:val="007A62CE"/>
    <w:rsid w:val="00873D3C"/>
    <w:rsid w:val="00927524"/>
    <w:rsid w:val="009D7A72"/>
    <w:rsid w:val="00A30806"/>
    <w:rsid w:val="00BD015B"/>
    <w:rsid w:val="00BF79A4"/>
    <w:rsid w:val="00C45025"/>
    <w:rsid w:val="00EB3858"/>
    <w:rsid w:val="00FC6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3FF9"/>
    <w:rPr>
      <w:b/>
      <w:bCs/>
    </w:rPr>
  </w:style>
  <w:style w:type="paragraph" w:styleId="a4">
    <w:name w:val="header"/>
    <w:basedOn w:val="a"/>
    <w:link w:val="Char"/>
    <w:uiPriority w:val="99"/>
    <w:unhideWhenUsed/>
    <w:rsid w:val="003F7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7257"/>
    <w:rPr>
      <w:sz w:val="18"/>
      <w:szCs w:val="18"/>
    </w:rPr>
  </w:style>
  <w:style w:type="paragraph" w:styleId="a5">
    <w:name w:val="footer"/>
    <w:basedOn w:val="a"/>
    <w:link w:val="Char0"/>
    <w:uiPriority w:val="99"/>
    <w:unhideWhenUsed/>
    <w:rsid w:val="003F7257"/>
    <w:pPr>
      <w:tabs>
        <w:tab w:val="center" w:pos="4153"/>
        <w:tab w:val="right" w:pos="8306"/>
      </w:tabs>
      <w:snapToGrid w:val="0"/>
      <w:jc w:val="left"/>
    </w:pPr>
    <w:rPr>
      <w:sz w:val="18"/>
      <w:szCs w:val="18"/>
    </w:rPr>
  </w:style>
  <w:style w:type="character" w:customStyle="1" w:styleId="Char0">
    <w:name w:val="页脚 Char"/>
    <w:basedOn w:val="a0"/>
    <w:link w:val="a5"/>
    <w:uiPriority w:val="99"/>
    <w:rsid w:val="003F7257"/>
    <w:rPr>
      <w:sz w:val="18"/>
      <w:szCs w:val="18"/>
    </w:rPr>
  </w:style>
  <w:style w:type="paragraph" w:styleId="a6">
    <w:name w:val="Balloon Text"/>
    <w:basedOn w:val="a"/>
    <w:link w:val="Char1"/>
    <w:uiPriority w:val="99"/>
    <w:semiHidden/>
    <w:unhideWhenUsed/>
    <w:rsid w:val="00EB3858"/>
    <w:rPr>
      <w:sz w:val="18"/>
      <w:szCs w:val="18"/>
    </w:rPr>
  </w:style>
  <w:style w:type="character" w:customStyle="1" w:styleId="Char1">
    <w:name w:val="批注框文本 Char"/>
    <w:basedOn w:val="a0"/>
    <w:link w:val="a6"/>
    <w:uiPriority w:val="99"/>
    <w:semiHidden/>
    <w:rsid w:val="00EB3858"/>
    <w:rPr>
      <w:sz w:val="18"/>
      <w:szCs w:val="18"/>
    </w:rPr>
  </w:style>
</w:styles>
</file>

<file path=word/webSettings.xml><?xml version="1.0" encoding="utf-8"?>
<w:webSettings xmlns:r="http://schemas.openxmlformats.org/officeDocument/2006/relationships" xmlns:w="http://schemas.openxmlformats.org/wordprocessingml/2006/main">
  <w:divs>
    <w:div w:id="857279905">
      <w:bodyDiv w:val="1"/>
      <w:marLeft w:val="0"/>
      <w:marRight w:val="0"/>
      <w:marTop w:val="0"/>
      <w:marBottom w:val="0"/>
      <w:divBdr>
        <w:top w:val="none" w:sz="0" w:space="0" w:color="auto"/>
        <w:left w:val="none" w:sz="0" w:space="0" w:color="auto"/>
        <w:bottom w:val="none" w:sz="0" w:space="0" w:color="auto"/>
        <w:right w:val="none" w:sz="0" w:space="0" w:color="auto"/>
      </w:divBdr>
      <w:divsChild>
        <w:div w:id="740373549">
          <w:marLeft w:val="0"/>
          <w:marRight w:val="0"/>
          <w:marTop w:val="0"/>
          <w:marBottom w:val="0"/>
          <w:divBdr>
            <w:top w:val="none" w:sz="0" w:space="0" w:color="auto"/>
            <w:left w:val="none" w:sz="0" w:space="0" w:color="auto"/>
            <w:bottom w:val="none" w:sz="0" w:space="0" w:color="auto"/>
            <w:right w:val="none" w:sz="0" w:space="0" w:color="auto"/>
          </w:divBdr>
          <w:divsChild>
            <w:div w:id="599218033">
              <w:marLeft w:val="0"/>
              <w:marRight w:val="0"/>
              <w:marTop w:val="0"/>
              <w:marBottom w:val="0"/>
              <w:divBdr>
                <w:top w:val="none" w:sz="0" w:space="0" w:color="auto"/>
                <w:left w:val="none" w:sz="0" w:space="0" w:color="auto"/>
                <w:bottom w:val="none" w:sz="0" w:space="0" w:color="auto"/>
                <w:right w:val="none" w:sz="0" w:space="0" w:color="auto"/>
              </w:divBdr>
              <w:divsChild>
                <w:div w:id="2027323312">
                  <w:marLeft w:val="0"/>
                  <w:marRight w:val="0"/>
                  <w:marTop w:val="0"/>
                  <w:marBottom w:val="0"/>
                  <w:divBdr>
                    <w:top w:val="none" w:sz="0" w:space="0" w:color="auto"/>
                    <w:left w:val="none" w:sz="0" w:space="0" w:color="auto"/>
                    <w:bottom w:val="none" w:sz="0" w:space="0" w:color="auto"/>
                    <w:right w:val="none" w:sz="0" w:space="0" w:color="auto"/>
                  </w:divBdr>
                  <w:divsChild>
                    <w:div w:id="856696864">
                      <w:marLeft w:val="0"/>
                      <w:marRight w:val="0"/>
                      <w:marTop w:val="0"/>
                      <w:marBottom w:val="0"/>
                      <w:divBdr>
                        <w:top w:val="none" w:sz="0" w:space="0" w:color="auto"/>
                        <w:left w:val="none" w:sz="0" w:space="0" w:color="auto"/>
                        <w:bottom w:val="none" w:sz="0" w:space="0" w:color="auto"/>
                        <w:right w:val="none" w:sz="0" w:space="0" w:color="auto"/>
                      </w:divBdr>
                      <w:divsChild>
                        <w:div w:id="18109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81612">
      <w:bodyDiv w:val="1"/>
      <w:marLeft w:val="0"/>
      <w:marRight w:val="0"/>
      <w:marTop w:val="0"/>
      <w:marBottom w:val="0"/>
      <w:divBdr>
        <w:top w:val="none" w:sz="0" w:space="0" w:color="auto"/>
        <w:left w:val="none" w:sz="0" w:space="0" w:color="auto"/>
        <w:bottom w:val="none" w:sz="0" w:space="0" w:color="auto"/>
        <w:right w:val="none" w:sz="0" w:space="0" w:color="auto"/>
      </w:divBdr>
      <w:divsChild>
        <w:div w:id="1795975955">
          <w:marLeft w:val="0"/>
          <w:marRight w:val="0"/>
          <w:marTop w:val="0"/>
          <w:marBottom w:val="0"/>
          <w:divBdr>
            <w:top w:val="none" w:sz="0" w:space="0" w:color="auto"/>
            <w:left w:val="none" w:sz="0" w:space="0" w:color="auto"/>
            <w:bottom w:val="none" w:sz="0" w:space="0" w:color="auto"/>
            <w:right w:val="none" w:sz="0" w:space="0" w:color="auto"/>
          </w:divBdr>
          <w:divsChild>
            <w:div w:id="15177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cp:lastPrinted>2015-09-21T01:45:00Z</cp:lastPrinted>
  <dcterms:created xsi:type="dcterms:W3CDTF">2016-03-02T03:07:00Z</dcterms:created>
  <dcterms:modified xsi:type="dcterms:W3CDTF">2016-03-02T06:44:00Z</dcterms:modified>
</cp:coreProperties>
</file>