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B8BD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仿宋" w:hAnsi="仿宋" w:eastAsia="仿宋" w:cs="仿宋"/>
          <w:b/>
          <w:bCs/>
          <w:color w:val="auto"/>
          <w:spacing w:val="-17"/>
          <w:kern w:val="2"/>
          <w:sz w:val="32"/>
          <w:szCs w:val="32"/>
          <w:highlight w:val="none"/>
          <w:lang w:val="en-US" w:eastAsia="zh-CN" w:bidi="ar-SA"/>
        </w:rPr>
      </w:pPr>
      <w:r>
        <w:rPr>
          <w:rFonts w:hint="eastAsia" w:ascii="仿宋" w:hAnsi="仿宋" w:eastAsia="仿宋" w:cs="仿宋"/>
          <w:b/>
          <w:bCs/>
          <w:color w:val="auto"/>
          <w:spacing w:val="-17"/>
          <w:kern w:val="2"/>
          <w:sz w:val="32"/>
          <w:szCs w:val="32"/>
          <w:highlight w:val="none"/>
          <w:lang w:val="en-US" w:eastAsia="zh-CN" w:bidi="ar-SA"/>
        </w:rPr>
        <w:t>四川省广元市职业高级中学校</w:t>
      </w:r>
    </w:p>
    <w:p w14:paraId="2E195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2"/>
          <w:szCs w:val="32"/>
          <w:lang w:val="en-US"/>
        </w:rPr>
      </w:pPr>
      <w:r>
        <w:rPr>
          <w:rFonts w:hint="eastAsia" w:ascii="仿宋" w:hAnsi="仿宋" w:eastAsia="仿宋" w:cs="仿宋"/>
          <w:b/>
          <w:bCs/>
          <w:color w:val="auto"/>
          <w:spacing w:val="-17"/>
          <w:kern w:val="2"/>
          <w:sz w:val="32"/>
          <w:szCs w:val="32"/>
          <w:highlight w:val="none"/>
          <w:lang w:val="en-US" w:eastAsia="zh-CN" w:bidi="ar-SA"/>
        </w:rPr>
        <w:t>学校智慧校园网站等级保护测评服务询价公告</w:t>
      </w:r>
    </w:p>
    <w:p w14:paraId="3632C94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rPr>
        <w:t>一、采购项目基本情况</w:t>
      </w:r>
    </w:p>
    <w:p w14:paraId="1B5FC2BE">
      <w:pPr>
        <w:keepNext w:val="0"/>
        <w:keepLines w:val="0"/>
        <w:pageBreakBefore w:val="0"/>
        <w:widowControl w:val="0"/>
        <w:kinsoku/>
        <w:wordWrap/>
        <w:overflowPunct/>
        <w:topLinePunct w:val="0"/>
        <w:autoSpaceDE/>
        <w:autoSpaceDN/>
        <w:bidi w:val="0"/>
        <w:adjustRightInd/>
        <w:snapToGrid/>
        <w:spacing w:line="480" w:lineRule="auto"/>
        <w:ind w:firstLine="720" w:firstLineChars="300"/>
        <w:jc w:val="both"/>
        <w:textAlignment w:val="auto"/>
        <w:rPr>
          <w:rFonts w:hint="default" w:ascii="仿宋" w:hAnsi="仿宋" w:eastAsia="仿宋" w:cs="仿宋"/>
          <w:b w:val="0"/>
          <w:bCs w:val="0"/>
          <w:color w:val="auto"/>
          <w:sz w:val="24"/>
          <w:szCs w:val="24"/>
          <w:u w:val="single"/>
          <w:lang w:val="en-US"/>
        </w:rPr>
      </w:pPr>
      <w:r>
        <w:rPr>
          <w:rFonts w:hint="eastAsia" w:ascii="仿宋" w:hAnsi="仿宋" w:eastAsia="仿宋" w:cs="仿宋"/>
          <w:color w:val="auto"/>
          <w:sz w:val="24"/>
          <w:lang w:val="en-US" w:eastAsia="zh-CN"/>
        </w:rPr>
        <w:t>1</w:t>
      </w:r>
      <w:r>
        <w:rPr>
          <w:rFonts w:hint="eastAsia" w:ascii="仿宋" w:hAnsi="仿宋" w:eastAsia="仿宋" w:cs="仿宋"/>
          <w:color w:val="auto"/>
          <w:sz w:val="24"/>
        </w:rPr>
        <w:t>.项目名称：</w:t>
      </w:r>
      <w:r>
        <w:rPr>
          <w:rFonts w:hint="eastAsia" w:ascii="仿宋" w:hAnsi="仿宋" w:eastAsia="仿宋" w:cs="仿宋"/>
          <w:b/>
          <w:bCs/>
          <w:color w:val="auto"/>
          <w:spacing w:val="-17"/>
          <w:kern w:val="2"/>
          <w:sz w:val="24"/>
          <w:szCs w:val="24"/>
          <w:highlight w:val="none"/>
          <w:lang w:val="en-US" w:eastAsia="zh-CN" w:bidi="ar-SA"/>
        </w:rPr>
        <w:t>四川省广元市职业高级中学校学校智慧校园网站等级保护测评服务</w:t>
      </w:r>
      <w:r>
        <w:rPr>
          <w:rFonts w:hint="eastAsia"/>
          <w:sz w:val="24"/>
          <w:szCs w:val="24"/>
          <w:u w:val="none"/>
          <w:lang w:val="en-US" w:eastAsia="zh-CN"/>
        </w:rPr>
        <w:t>。</w:t>
      </w:r>
    </w:p>
    <w:p w14:paraId="265D9F9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lang w:val="en-US" w:eastAsia="zh-CN"/>
        </w:rPr>
        <w:t>2</w:t>
      </w:r>
      <w:r>
        <w:rPr>
          <w:rFonts w:hint="eastAsia" w:ascii="仿宋" w:hAnsi="仿宋" w:eastAsia="仿宋" w:cs="仿宋"/>
          <w:color w:val="auto"/>
          <w:sz w:val="24"/>
        </w:rPr>
        <w:t>.采购人：</w:t>
      </w:r>
      <w:r>
        <w:rPr>
          <w:rFonts w:hint="eastAsia" w:ascii="仿宋" w:hAnsi="仿宋" w:eastAsia="仿宋" w:cs="仿宋"/>
          <w:b w:val="0"/>
          <w:bCs w:val="0"/>
          <w:color w:val="auto"/>
          <w:sz w:val="24"/>
          <w:u w:val="none"/>
          <w:lang w:eastAsia="zh-CN"/>
        </w:rPr>
        <w:t>四川省广元市职业高级中学校</w:t>
      </w:r>
      <w:r>
        <w:rPr>
          <w:rFonts w:hint="eastAsia" w:ascii="仿宋" w:hAnsi="仿宋" w:eastAsia="仿宋" w:cs="仿宋"/>
          <w:b w:val="0"/>
          <w:bCs w:val="0"/>
          <w:color w:val="auto"/>
          <w:sz w:val="24"/>
          <w:u w:val="none"/>
        </w:rPr>
        <w:t>。</w:t>
      </w:r>
    </w:p>
    <w:p w14:paraId="1A704FD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lang w:val="en-US" w:eastAsia="zh-CN"/>
        </w:rPr>
        <w:t>3</w:t>
      </w:r>
      <w:r>
        <w:rPr>
          <w:rFonts w:hint="eastAsia" w:ascii="仿宋" w:hAnsi="仿宋" w:eastAsia="仿宋" w:cs="仿宋"/>
          <w:color w:val="auto"/>
          <w:sz w:val="24"/>
          <w:u w:val="none"/>
        </w:rPr>
        <w:t>.采购</w:t>
      </w:r>
      <w:r>
        <w:rPr>
          <w:rFonts w:hint="eastAsia" w:ascii="仿宋" w:hAnsi="仿宋" w:eastAsia="仿宋" w:cs="仿宋"/>
          <w:color w:val="auto"/>
          <w:sz w:val="24"/>
          <w:u w:val="none"/>
          <w:lang w:val="en-US" w:eastAsia="zh-CN"/>
        </w:rPr>
        <w:t>方式</w:t>
      </w:r>
      <w:r>
        <w:rPr>
          <w:rFonts w:hint="eastAsia" w:ascii="仿宋" w:hAnsi="仿宋" w:eastAsia="仿宋" w:cs="仿宋"/>
          <w:color w:val="auto"/>
          <w:sz w:val="24"/>
          <w:u w:val="none"/>
        </w:rPr>
        <w:t>：</w:t>
      </w:r>
      <w:r>
        <w:rPr>
          <w:rFonts w:hint="eastAsia" w:ascii="仿宋" w:hAnsi="仿宋" w:eastAsia="仿宋" w:cs="仿宋"/>
          <w:color w:val="auto"/>
          <w:sz w:val="24"/>
          <w:u w:val="none"/>
          <w:lang w:val="en-US" w:eastAsia="zh-CN"/>
        </w:rPr>
        <w:t>询价</w:t>
      </w:r>
      <w:r>
        <w:rPr>
          <w:rFonts w:hint="eastAsia" w:ascii="仿宋" w:hAnsi="仿宋" w:eastAsia="仿宋" w:cs="仿宋"/>
          <w:color w:val="auto"/>
          <w:sz w:val="24"/>
          <w:u w:val="none"/>
        </w:rPr>
        <w:t>。</w:t>
      </w:r>
    </w:p>
    <w:p w14:paraId="6CDF69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lang w:val="en-US"/>
        </w:rPr>
      </w:pPr>
      <w:r>
        <w:rPr>
          <w:rFonts w:hint="eastAsia" w:ascii="仿宋" w:hAnsi="仿宋" w:eastAsia="仿宋" w:cs="仿宋"/>
          <w:b/>
          <w:bCs/>
          <w:color w:val="auto"/>
          <w:sz w:val="24"/>
        </w:rPr>
        <w:t>二、</w:t>
      </w:r>
      <w:r>
        <w:rPr>
          <w:rFonts w:hint="eastAsia" w:ascii="仿宋" w:hAnsi="仿宋" w:eastAsia="仿宋" w:cs="仿宋"/>
          <w:b/>
          <w:bCs/>
          <w:color w:val="auto"/>
          <w:sz w:val="24"/>
          <w:lang w:eastAsia="zh-CN"/>
        </w:rPr>
        <w:t>资金情况</w:t>
      </w:r>
    </w:p>
    <w:p w14:paraId="369C7A8D">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lang w:val="en-US" w:eastAsia="zh-CN" w:bidi="ar"/>
        </w:rPr>
        <w:t>资金来源及金额：预算资</w:t>
      </w:r>
      <w:r>
        <w:rPr>
          <w:rFonts w:hint="eastAsia" w:ascii="仿宋" w:hAnsi="仿宋" w:eastAsia="仿宋" w:cs="仿宋"/>
          <w:color w:val="auto"/>
          <w:kern w:val="0"/>
          <w:sz w:val="24"/>
          <w:szCs w:val="24"/>
          <w:highlight w:val="none"/>
          <w:lang w:val="en-US" w:eastAsia="zh-CN" w:bidi="ar"/>
        </w:rPr>
        <w:t>金，¥4.6万元，公用经费。</w:t>
      </w:r>
    </w:p>
    <w:p w14:paraId="56F84152">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rPr>
      </w:pPr>
      <w:bookmarkStart w:id="0" w:name="_Toc28693"/>
      <w:bookmarkStart w:id="1" w:name="_Toc298"/>
      <w:bookmarkStart w:id="2" w:name="_Toc28358"/>
      <w:r>
        <w:rPr>
          <w:rFonts w:hint="eastAsia" w:ascii="仿宋" w:hAnsi="仿宋" w:eastAsia="仿宋" w:cs="仿宋"/>
          <w:b/>
          <w:bCs/>
          <w:sz w:val="24"/>
        </w:rPr>
        <w:t>三、采购项目简介</w:t>
      </w:r>
      <w:bookmarkEnd w:id="0"/>
      <w:bookmarkEnd w:id="1"/>
      <w:bookmarkEnd w:id="2"/>
    </w:p>
    <w:p w14:paraId="1AD281A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color w:val="auto"/>
          <w:kern w:val="2"/>
          <w:sz w:val="24"/>
          <w:szCs w:val="24"/>
          <w:lang w:val="en-US" w:eastAsia="zh-CN" w:bidi="ar-SA"/>
        </w:rPr>
        <w:t>按照《中华人民共和国网络安全法》和《信息安全等级保护管理办法》等相关要求，采购网络安全等级保护测评服务供应商，对我单位相关信息系统安全等级状况开展等级测评工作，并出具等级保护测评报告。</w:t>
      </w:r>
    </w:p>
    <w:p w14:paraId="1CE5500B">
      <w:pPr>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四、供应商邀请方式</w:t>
      </w:r>
    </w:p>
    <w:p w14:paraId="553A6E4F">
      <w:pPr>
        <w:spacing w:line="420" w:lineRule="exact"/>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本项目</w:t>
      </w:r>
      <w:r>
        <w:rPr>
          <w:rFonts w:hint="eastAsia" w:ascii="仿宋" w:hAnsi="仿宋" w:eastAsia="仿宋" w:cs="仿宋"/>
          <w:bCs/>
          <w:color w:val="auto"/>
          <w:sz w:val="24"/>
          <w:lang w:val="en-US" w:eastAsia="zh-CN"/>
        </w:rPr>
        <w:t>询价</w:t>
      </w:r>
      <w:r>
        <w:rPr>
          <w:rFonts w:hint="eastAsia" w:ascii="仿宋" w:hAnsi="仿宋" w:eastAsia="仿宋" w:cs="仿宋"/>
          <w:bCs/>
          <w:color w:val="auto"/>
          <w:sz w:val="24"/>
        </w:rPr>
        <w:t>邀请在</w:t>
      </w:r>
      <w:r>
        <w:rPr>
          <w:rFonts w:hint="eastAsia" w:ascii="仿宋" w:hAnsi="仿宋" w:eastAsia="仿宋" w:cs="仿宋"/>
          <w:b/>
          <w:color w:val="auto"/>
          <w:sz w:val="24"/>
          <w:lang w:eastAsia="zh-CN"/>
        </w:rPr>
        <w:t>四川省广元市职业高级中学校官网上</w:t>
      </w:r>
      <w:r>
        <w:rPr>
          <w:rFonts w:hint="eastAsia" w:ascii="仿宋" w:hAnsi="仿宋" w:eastAsia="仿宋" w:cs="仿宋"/>
          <w:bCs/>
          <w:color w:val="auto"/>
          <w:sz w:val="24"/>
        </w:rPr>
        <w:t>以公告的形式发布。</w:t>
      </w:r>
    </w:p>
    <w:p w14:paraId="21B7005B">
      <w:pPr>
        <w:spacing w:line="420" w:lineRule="exact"/>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34C2F209">
      <w:pPr>
        <w:pStyle w:val="7"/>
        <w:spacing w:line="420" w:lineRule="exact"/>
        <w:ind w:firstLine="720" w:firstLineChars="300"/>
        <w:jc w:val="left"/>
        <w:rPr>
          <w:rFonts w:hint="eastAsia" w:ascii="仿宋" w:hAnsi="仿宋" w:eastAsia="仿宋" w:cs="仿宋"/>
          <w:bCs/>
          <w:color w:val="000000"/>
          <w:sz w:val="24"/>
          <w:szCs w:val="24"/>
        </w:rPr>
      </w:pPr>
      <w:r>
        <w:rPr>
          <w:rFonts w:hint="eastAsia" w:ascii="仿宋" w:hAnsi="仿宋" w:eastAsia="仿宋" w:cs="仿宋"/>
          <w:bCs/>
          <w:color w:val="000000"/>
          <w:sz w:val="24"/>
        </w:rPr>
        <w:t>1.具有独立承担民事责任的能力</w:t>
      </w:r>
      <w:r>
        <w:rPr>
          <w:rFonts w:hint="eastAsia" w:ascii="仿宋" w:hAnsi="仿宋" w:eastAsia="仿宋" w:cs="仿宋"/>
          <w:bCs/>
          <w:color w:val="000000"/>
          <w:sz w:val="24"/>
          <w:szCs w:val="24"/>
        </w:rPr>
        <w:t>；</w:t>
      </w:r>
    </w:p>
    <w:p w14:paraId="71A1015C">
      <w:pPr>
        <w:tabs>
          <w:tab w:val="left" w:pos="7665"/>
        </w:tabs>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rPr>
        <w:t>2.具有良好的商业信誉和健全的财务会计制度；</w:t>
      </w:r>
    </w:p>
    <w:p w14:paraId="20AA5110">
      <w:pPr>
        <w:tabs>
          <w:tab w:val="left" w:pos="7665"/>
        </w:tabs>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rPr>
        <w:t>3.具有履行合同所必需的设备和专业技术能力；</w:t>
      </w:r>
    </w:p>
    <w:p w14:paraId="36816BB7">
      <w:pPr>
        <w:tabs>
          <w:tab w:val="left" w:pos="7665"/>
        </w:tabs>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rPr>
        <w:t>4.有依法缴纳税收和社会保障资金的良好记录；</w:t>
      </w:r>
    </w:p>
    <w:p w14:paraId="6A8A6C5D">
      <w:pPr>
        <w:tabs>
          <w:tab w:val="left" w:pos="7665"/>
        </w:tabs>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rPr>
        <w:t>5.参加采购活动前三年内，在经营活动中没有重大违法记录；</w:t>
      </w:r>
    </w:p>
    <w:p w14:paraId="11F54152">
      <w:pPr>
        <w:pStyle w:val="7"/>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6.法律、行政法规规定的其他条件</w:t>
      </w:r>
      <w:r>
        <w:rPr>
          <w:rFonts w:hint="eastAsia" w:ascii="仿宋" w:hAnsi="仿宋" w:eastAsia="仿宋" w:cs="仿宋"/>
          <w:bCs/>
          <w:color w:val="000000"/>
          <w:sz w:val="24"/>
          <w:lang w:eastAsia="zh-CN"/>
        </w:rPr>
        <w:t>。</w:t>
      </w:r>
    </w:p>
    <w:p w14:paraId="1B4066D1">
      <w:pPr>
        <w:pStyle w:val="7"/>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lang w:val="en-US" w:eastAsia="zh-CN"/>
        </w:rPr>
        <w:t>7.不接受联合体投标。</w:t>
      </w:r>
      <w:r>
        <w:rPr>
          <w:rFonts w:hint="eastAsia" w:ascii="仿宋" w:hAnsi="仿宋" w:eastAsia="仿宋" w:cs="仿宋"/>
          <w:bCs/>
          <w:color w:val="000000"/>
          <w:sz w:val="24"/>
        </w:rPr>
        <w:t xml:space="preserve"> </w:t>
      </w:r>
    </w:p>
    <w:p w14:paraId="44270FBE">
      <w:pPr>
        <w:pStyle w:val="9"/>
        <w:spacing w:line="420" w:lineRule="exact"/>
        <w:ind w:firstLine="488"/>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72B10BDD">
      <w:pPr>
        <w:pStyle w:val="7"/>
        <w:spacing w:line="420" w:lineRule="exact"/>
        <w:ind w:firstLine="486"/>
        <w:jc w:val="left"/>
        <w:rPr>
          <w:rFonts w:hint="eastAsia" w:ascii="仿宋" w:hAnsi="仿宋" w:eastAsia="仿宋" w:cs="仿宋"/>
          <w:bCs/>
          <w:color w:val="000000"/>
          <w:sz w:val="24"/>
        </w:rPr>
      </w:pPr>
      <w:r>
        <w:rPr>
          <w:rFonts w:hint="eastAsia" w:ascii="仿宋" w:hAnsi="仿宋" w:eastAsia="仿宋" w:cs="仿宋"/>
          <w:bCs/>
          <w:color w:val="000000"/>
          <w:sz w:val="24"/>
          <w:lang w:val="en-US" w:eastAsia="zh-CN"/>
        </w:rPr>
        <w:t>根据《关于在政府采购活动中查询及使用信用记录有关问题的通知》（财库〔2016〕125 号）的要求，将通过“信用中国”网站（www.creditchina.gov.cn）、“中国政府采购网”网站（www.ccg</w:t>
      </w:r>
      <w:r>
        <w:rPr>
          <w:rFonts w:hint="eastAsia" w:ascii="仿宋" w:hAnsi="仿宋" w:eastAsia="仿宋" w:cs="仿宋"/>
          <w:bCs/>
          <w:color w:val="000000"/>
          <w:sz w:val="24"/>
        </w:rPr>
        <w:t>p.gov.cn）等渠道查询报名供应商在采购公告发布之日前的信用记录并保存信用记录结果网页截图，拒绝列入失信被执行人名单、重大税收违法案件当事人名单、政府采购严重违法失信行为记录名单中的供应商参加本项目的</w:t>
      </w:r>
      <w:r>
        <w:rPr>
          <w:rFonts w:hint="eastAsia" w:ascii="仿宋" w:hAnsi="仿宋" w:eastAsia="仿宋" w:cs="仿宋"/>
          <w:bCs/>
          <w:color w:val="000000"/>
          <w:sz w:val="24"/>
          <w:lang w:val="en-US" w:eastAsia="zh-CN"/>
        </w:rPr>
        <w:t>询价</w:t>
      </w:r>
      <w:r>
        <w:rPr>
          <w:rFonts w:hint="eastAsia" w:ascii="仿宋" w:hAnsi="仿宋" w:eastAsia="仿宋" w:cs="仿宋"/>
          <w:bCs/>
          <w:color w:val="000000"/>
          <w:sz w:val="24"/>
        </w:rPr>
        <w:t>活动。</w:t>
      </w:r>
    </w:p>
    <w:p w14:paraId="5EB7DBDD">
      <w:pPr>
        <w:spacing w:line="42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七、</w:t>
      </w:r>
      <w:r>
        <w:rPr>
          <w:rFonts w:hint="eastAsia" w:ascii="仿宋" w:hAnsi="仿宋" w:eastAsia="仿宋" w:cs="仿宋"/>
          <w:b/>
          <w:color w:val="000000"/>
          <w:sz w:val="24"/>
          <w:lang w:val="en-US" w:eastAsia="zh-CN"/>
        </w:rPr>
        <w:t>询价</w:t>
      </w:r>
      <w:r>
        <w:rPr>
          <w:rFonts w:hint="eastAsia" w:ascii="仿宋" w:hAnsi="仿宋" w:eastAsia="仿宋" w:cs="仿宋"/>
          <w:b/>
          <w:color w:val="000000"/>
          <w:sz w:val="24"/>
        </w:rPr>
        <w:t>文件获取方式</w:t>
      </w:r>
    </w:p>
    <w:p w14:paraId="22EAB502">
      <w:pPr>
        <w:pStyle w:val="3"/>
        <w:spacing w:line="420" w:lineRule="exact"/>
        <w:ind w:firstLine="482"/>
        <w:rPr>
          <w:rFonts w:hint="default" w:ascii="仿宋" w:hAnsi="仿宋" w:eastAsia="仿宋" w:cs="仿宋"/>
          <w:b/>
          <w:sz w:val="24"/>
          <w:lang w:val="en-US" w:eastAsia="zh-CN"/>
        </w:rPr>
      </w:pPr>
      <w:r>
        <w:rPr>
          <w:rFonts w:hint="eastAsia" w:ascii="仿宋" w:hAnsi="仿宋" w:eastAsia="仿宋" w:cs="仿宋"/>
          <w:b/>
          <w:sz w:val="24"/>
          <w:lang w:val="en-US" w:eastAsia="zh-CN"/>
        </w:rPr>
        <w:t>2025年12月10日在四川省广元市职业高级中学校官网发布公告及询价文件，供应商自行在四川省广元市职业高级中学校官网下载。</w:t>
      </w:r>
    </w:p>
    <w:p w14:paraId="50367AF6">
      <w:pPr>
        <w:spacing w:line="420" w:lineRule="exact"/>
        <w:ind w:firstLine="482" w:firstLineChars="200"/>
        <w:jc w:val="left"/>
        <w:rPr>
          <w:rFonts w:hint="eastAsia" w:ascii="仿宋" w:hAnsi="仿宋" w:eastAsia="仿宋" w:cs="仿宋"/>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sz w:val="24"/>
        </w:rPr>
        <w:t>截止时间：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15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15</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sz w:val="24"/>
          <w:szCs w:val="28"/>
        </w:rPr>
        <w:t>（北京时间）。</w:t>
      </w:r>
    </w:p>
    <w:p w14:paraId="59C90979">
      <w:pPr>
        <w:spacing w:line="420" w:lineRule="exact"/>
        <w:ind w:firstLine="1446" w:firstLineChars="600"/>
        <w:jc w:val="left"/>
        <w:rPr>
          <w:rFonts w:hint="eastAsia" w:ascii="仿宋" w:hAnsi="仿宋" w:eastAsia="仿宋" w:cs="仿宋"/>
          <w:sz w:val="24"/>
          <w:szCs w:val="28"/>
        </w:rPr>
      </w:pPr>
      <w:r>
        <w:rPr>
          <w:rFonts w:hint="eastAsia" w:ascii="仿宋" w:hAnsi="仿宋" w:eastAsia="仿宋" w:cs="仿宋"/>
          <w:b/>
          <w:sz w:val="24"/>
          <w:szCs w:val="28"/>
        </w:rPr>
        <w:t>响应文件开启时间：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15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15</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sz w:val="24"/>
          <w:szCs w:val="28"/>
        </w:rPr>
        <w:t>（北京时间），在</w:t>
      </w:r>
      <w:r>
        <w:rPr>
          <w:rFonts w:hint="eastAsia" w:ascii="仿宋" w:hAnsi="仿宋" w:eastAsia="仿宋" w:cs="仿宋"/>
          <w:b/>
          <w:sz w:val="24"/>
          <w:szCs w:val="28"/>
          <w:u w:val="single"/>
          <w:lang w:val="en-US" w:eastAsia="zh-CN"/>
        </w:rPr>
        <w:t>询价</w:t>
      </w:r>
      <w:r>
        <w:rPr>
          <w:rFonts w:hint="eastAsia" w:ascii="仿宋" w:hAnsi="仿宋" w:eastAsia="仿宋" w:cs="仿宋"/>
          <w:b/>
          <w:sz w:val="24"/>
          <w:szCs w:val="28"/>
          <w:u w:val="single"/>
        </w:rPr>
        <w:t>地点</w:t>
      </w:r>
      <w:r>
        <w:rPr>
          <w:rFonts w:hint="eastAsia" w:ascii="仿宋" w:hAnsi="仿宋" w:eastAsia="仿宋" w:cs="仿宋"/>
          <w:sz w:val="24"/>
          <w:szCs w:val="28"/>
        </w:rPr>
        <w:t>开启。</w:t>
      </w:r>
    </w:p>
    <w:p w14:paraId="3CA1A5D5">
      <w:pPr>
        <w:spacing w:line="420" w:lineRule="exact"/>
        <w:ind w:firstLine="482" w:firstLineChars="200"/>
        <w:jc w:val="left"/>
        <w:rPr>
          <w:rFonts w:hint="eastAsia"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lang w:val="en-US" w:eastAsia="zh-CN"/>
        </w:rPr>
        <w:t>询价</w:t>
      </w:r>
      <w:r>
        <w:rPr>
          <w:rFonts w:hint="eastAsia" w:ascii="仿宋" w:hAnsi="仿宋" w:eastAsia="仿宋" w:cs="仿宋"/>
          <w:sz w:val="24"/>
        </w:rPr>
        <w:t>地点。逾期送达、密封和标注错误的响应文件，恕不接收。</w:t>
      </w:r>
    </w:p>
    <w:p w14:paraId="05FDC534">
      <w:pPr>
        <w:pStyle w:val="3"/>
        <w:spacing w:line="420" w:lineRule="exact"/>
        <w:ind w:firstLine="482"/>
        <w:rPr>
          <w:rFonts w:hint="eastAsia" w:ascii="仿宋" w:hAnsi="仿宋" w:eastAsia="仿宋" w:cs="仿宋"/>
          <w:sz w:val="24"/>
        </w:rPr>
      </w:pPr>
      <w:r>
        <w:rPr>
          <w:rFonts w:hint="eastAsia" w:ascii="仿宋" w:hAnsi="仿宋" w:eastAsia="仿宋" w:cs="仿宋"/>
          <w:sz w:val="24"/>
        </w:rPr>
        <w:t>供应商现场</w:t>
      </w:r>
      <w:r>
        <w:rPr>
          <w:rFonts w:hint="eastAsia" w:ascii="仿宋" w:hAnsi="仿宋" w:eastAsia="仿宋" w:cs="仿宋"/>
          <w:sz w:val="24"/>
          <w:lang w:val="en-US" w:eastAsia="zh-CN"/>
        </w:rPr>
        <w:t>递交询价</w:t>
      </w:r>
      <w:r>
        <w:rPr>
          <w:rFonts w:hint="eastAsia" w:ascii="仿宋" w:hAnsi="仿宋" w:eastAsia="仿宋" w:cs="仿宋"/>
          <w:sz w:val="24"/>
        </w:rPr>
        <w:t>文件时，经办人员当</w:t>
      </w:r>
      <w:bookmarkStart w:id="35" w:name="_GoBack"/>
      <w:bookmarkEnd w:id="35"/>
      <w:r>
        <w:rPr>
          <w:rFonts w:hint="eastAsia" w:ascii="仿宋" w:hAnsi="仿宋" w:eastAsia="仿宋" w:cs="仿宋"/>
          <w:sz w:val="24"/>
        </w:rPr>
        <w:t>场提交以下资料：供应商为法人或者其他组织的，需提供单位介绍信</w:t>
      </w:r>
      <w:r>
        <w:rPr>
          <w:rFonts w:hint="eastAsia" w:ascii="仿宋" w:hAnsi="仿宋" w:eastAsia="仿宋" w:cs="仿宋"/>
          <w:sz w:val="24"/>
          <w:lang w:eastAsia="zh-CN"/>
        </w:rPr>
        <w:t>，</w:t>
      </w:r>
      <w:r>
        <w:rPr>
          <w:rFonts w:hint="eastAsia" w:ascii="仿宋" w:hAnsi="仿宋" w:eastAsia="仿宋" w:cs="仿宋"/>
          <w:b/>
          <w:bCs/>
          <w:sz w:val="24"/>
        </w:rPr>
        <w:t>介绍信内容需包含</w:t>
      </w:r>
      <w:r>
        <w:rPr>
          <w:rFonts w:hint="eastAsia" w:ascii="仿宋" w:hAnsi="仿宋" w:eastAsia="仿宋" w:cs="仿宋"/>
          <w:b/>
          <w:bCs/>
          <w:sz w:val="24"/>
          <w:lang w:eastAsia="zh-CN"/>
        </w:rPr>
        <w:t>（</w:t>
      </w:r>
      <w:r>
        <w:rPr>
          <w:rFonts w:hint="eastAsia" w:ascii="仿宋" w:hAnsi="仿宋" w:eastAsia="仿宋" w:cs="仿宋"/>
          <w:b/>
          <w:bCs/>
          <w:sz w:val="24"/>
        </w:rPr>
        <w:t>项目名称、项目编号、包号（如涉及）、经办人的联系电话、电子邮箱</w:t>
      </w:r>
      <w:r>
        <w:rPr>
          <w:rFonts w:hint="eastAsia" w:ascii="仿宋" w:hAnsi="仿宋" w:eastAsia="仿宋" w:cs="仿宋"/>
          <w:b/>
          <w:bCs/>
          <w:sz w:val="24"/>
          <w:lang w:eastAsia="zh-CN"/>
        </w:rPr>
        <w:t>、</w:t>
      </w:r>
      <w:r>
        <w:rPr>
          <w:rFonts w:hint="eastAsia" w:ascii="仿宋" w:hAnsi="仿宋" w:eastAsia="仿宋" w:cs="仿宋"/>
          <w:b/>
          <w:bCs/>
          <w:sz w:val="24"/>
        </w:rPr>
        <w:t>经办人身份证复印件等信息）</w:t>
      </w:r>
      <w:r>
        <w:rPr>
          <w:rFonts w:hint="eastAsia" w:ascii="仿宋" w:hAnsi="仿宋" w:eastAsia="仿宋" w:cs="仿宋"/>
          <w:sz w:val="24"/>
        </w:rPr>
        <w:t>加盖单位公章；供应商为自然人的，只需提供本人身份证复印件。</w:t>
      </w:r>
    </w:p>
    <w:p w14:paraId="18F55339">
      <w:pPr>
        <w:spacing w:line="420" w:lineRule="exact"/>
        <w:ind w:left="2166" w:leftChars="228" w:hanging="1687" w:hangingChars="700"/>
        <w:jc w:val="left"/>
        <w:rPr>
          <w:rFonts w:hint="default" w:ascii="仿宋" w:hAnsi="仿宋" w:eastAsia="仿宋" w:cs="仿宋"/>
          <w:color w:val="000000"/>
          <w:highlight w:val="none"/>
          <w:u w:val="single"/>
          <w:lang w:val="en-US" w:eastAsia="zh-CN"/>
        </w:rPr>
      </w:pPr>
      <w:r>
        <w:rPr>
          <w:rFonts w:hint="eastAsia" w:ascii="仿宋" w:hAnsi="仿宋" w:eastAsia="仿宋" w:cs="仿宋"/>
          <w:b/>
          <w:sz w:val="24"/>
        </w:rPr>
        <w:t>十、</w:t>
      </w:r>
      <w:r>
        <w:rPr>
          <w:rFonts w:hint="eastAsia" w:ascii="仿宋" w:hAnsi="仿宋" w:eastAsia="仿宋" w:cs="仿宋"/>
          <w:b/>
          <w:sz w:val="24"/>
          <w:lang w:val="en-US" w:eastAsia="zh-CN"/>
        </w:rPr>
        <w:t>询价</w:t>
      </w:r>
      <w:r>
        <w:rPr>
          <w:rFonts w:hint="eastAsia" w:ascii="仿宋" w:hAnsi="仿宋" w:eastAsia="仿宋" w:cs="仿宋"/>
          <w:b/>
          <w:sz w:val="24"/>
        </w:rPr>
        <w:t>地点：</w:t>
      </w:r>
      <w:r>
        <w:rPr>
          <w:rFonts w:hint="eastAsia" w:ascii="仿宋" w:hAnsi="仿宋" w:eastAsia="仿宋" w:cs="仿宋"/>
          <w:b/>
          <w:bCs/>
          <w:color w:val="000000"/>
          <w:sz w:val="24"/>
          <w:szCs w:val="24"/>
          <w:highlight w:val="none"/>
          <w:u w:val="single"/>
          <w:lang w:val="en-US" w:eastAsia="zh-CN"/>
        </w:rPr>
        <w:t>四川省广元市职业高级中学校行政办公室。</w:t>
      </w:r>
    </w:p>
    <w:p w14:paraId="7C5F25AE">
      <w:pPr>
        <w:spacing w:line="420" w:lineRule="exact"/>
        <w:ind w:left="2166" w:leftChars="228" w:hanging="1687" w:hangingChars="700"/>
        <w:jc w:val="left"/>
        <w:rPr>
          <w:rFonts w:hint="eastAsia" w:ascii="仿宋" w:hAnsi="仿宋" w:eastAsia="仿宋" w:cs="仿宋"/>
          <w:b/>
          <w:color w:val="000000"/>
          <w:sz w:val="24"/>
        </w:rPr>
      </w:pPr>
      <w:r>
        <w:rPr>
          <w:rFonts w:hint="eastAsia" w:ascii="仿宋" w:hAnsi="仿宋" w:eastAsia="仿宋" w:cs="仿宋"/>
          <w:b/>
          <w:color w:val="000000"/>
          <w:sz w:val="24"/>
        </w:rPr>
        <w:t>十一、联系方式</w:t>
      </w:r>
    </w:p>
    <w:p w14:paraId="3D3C80B8">
      <w:pPr>
        <w:pStyle w:val="7"/>
        <w:spacing w:line="400" w:lineRule="exact"/>
        <w:ind w:firstLine="964" w:firstLineChars="400"/>
        <w:jc w:val="left"/>
        <w:rPr>
          <w:rFonts w:hint="eastAsia" w:ascii="仿宋" w:hAnsi="仿宋" w:eastAsia="仿宋" w:cs="仿宋"/>
          <w:b/>
          <w:bCs w:val="0"/>
          <w:color w:val="auto"/>
          <w:sz w:val="24"/>
          <w:szCs w:val="24"/>
          <w:highlight w:val="none"/>
        </w:rPr>
      </w:pPr>
      <w:bookmarkStart w:id="3" w:name="_Toc19215"/>
      <w:bookmarkStart w:id="4" w:name="_Toc32173"/>
      <w:bookmarkStart w:id="5" w:name="_Toc18219"/>
      <w:bookmarkStart w:id="6" w:name="_Toc4703"/>
      <w:bookmarkStart w:id="7" w:name="_Toc8837"/>
      <w:bookmarkStart w:id="8" w:name="_Toc13033"/>
      <w:bookmarkStart w:id="9" w:name="_Toc5010"/>
      <w:bookmarkStart w:id="10" w:name="_Toc1485"/>
      <w:r>
        <w:rPr>
          <w:rFonts w:hint="eastAsia" w:ascii="仿宋" w:hAnsi="仿宋" w:eastAsia="仿宋" w:cs="仿宋"/>
          <w:b/>
          <w:bCs w:val="0"/>
          <w:color w:val="auto"/>
          <w:sz w:val="24"/>
          <w:szCs w:val="24"/>
          <w:highlight w:val="none"/>
        </w:rPr>
        <w:t>采购人：</w:t>
      </w:r>
      <w:r>
        <w:rPr>
          <w:rFonts w:hint="eastAsia" w:ascii="仿宋" w:hAnsi="仿宋" w:eastAsia="仿宋" w:cs="仿宋"/>
          <w:b/>
          <w:bCs w:val="0"/>
          <w:color w:val="auto"/>
          <w:sz w:val="24"/>
          <w:szCs w:val="24"/>
          <w:highlight w:val="none"/>
          <w:lang w:eastAsia="zh-CN"/>
        </w:rPr>
        <w:t>四川省广元市职业高级中学校</w:t>
      </w:r>
      <w:r>
        <w:rPr>
          <w:rFonts w:hint="eastAsia" w:ascii="仿宋" w:hAnsi="仿宋" w:eastAsia="仿宋" w:cs="仿宋"/>
          <w:b/>
          <w:bCs w:val="0"/>
          <w:color w:val="auto"/>
          <w:sz w:val="24"/>
          <w:szCs w:val="24"/>
          <w:highlight w:val="none"/>
        </w:rPr>
        <w:t xml:space="preserve"> </w:t>
      </w:r>
    </w:p>
    <w:p w14:paraId="5378B502">
      <w:pPr>
        <w:pStyle w:val="7"/>
        <w:spacing w:line="440" w:lineRule="exact"/>
        <w:ind w:firstLine="960" w:firstLineChars="4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color w:val="auto"/>
          <w:sz w:val="24"/>
          <w:szCs w:val="24"/>
          <w:highlight w:val="none"/>
          <w:lang w:eastAsia="zh-CN"/>
        </w:rPr>
        <w:t>四川省广元市利州区雪峰教育园区</w:t>
      </w:r>
    </w:p>
    <w:p w14:paraId="379F50A5">
      <w:pPr>
        <w:pStyle w:val="7"/>
        <w:spacing w:line="400" w:lineRule="exact"/>
        <w:ind w:right="122" w:rightChars="58" w:firstLine="960" w:firstLineChars="4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color w:val="auto"/>
          <w:sz w:val="24"/>
          <w:szCs w:val="24"/>
          <w:highlight w:val="none"/>
          <w:lang w:val="en-US" w:eastAsia="zh-CN"/>
        </w:rPr>
        <w:t>尹老师</w:t>
      </w:r>
    </w:p>
    <w:p w14:paraId="60540503">
      <w:pPr>
        <w:pStyle w:val="7"/>
        <w:spacing w:line="400" w:lineRule="exact"/>
        <w:ind w:firstLine="960" w:firstLineChars="4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color w:val="auto"/>
          <w:sz w:val="24"/>
          <w:szCs w:val="24"/>
          <w:highlight w:val="none"/>
          <w:lang w:val="en-US" w:eastAsia="zh-CN"/>
        </w:rPr>
        <w:t>152 8394 1242</w:t>
      </w:r>
    </w:p>
    <w:p w14:paraId="4120A2D6">
      <w:pPr>
        <w:pStyle w:val="7"/>
        <w:spacing w:line="400" w:lineRule="exact"/>
        <w:ind w:firstLine="964" w:firstLineChars="400"/>
        <w:jc w:val="left"/>
        <w:rPr>
          <w:rFonts w:hint="eastAsia" w:ascii="仿宋" w:hAnsi="仿宋" w:eastAsia="仿宋" w:cs="仿宋"/>
          <w:b/>
          <w:color w:val="000000"/>
          <w:sz w:val="24"/>
          <w:szCs w:val="24"/>
          <w:highlight w:val="none"/>
        </w:rPr>
      </w:pPr>
    </w:p>
    <w:bookmarkEnd w:id="3"/>
    <w:bookmarkEnd w:id="4"/>
    <w:bookmarkEnd w:id="5"/>
    <w:bookmarkEnd w:id="6"/>
    <w:bookmarkEnd w:id="7"/>
    <w:bookmarkEnd w:id="8"/>
    <w:bookmarkEnd w:id="9"/>
    <w:bookmarkEnd w:id="10"/>
    <w:p w14:paraId="53786180"/>
    <w:p w14:paraId="5DA559C0"/>
    <w:p w14:paraId="5D9152E6"/>
    <w:p w14:paraId="2024A487"/>
    <w:p w14:paraId="0615B20B"/>
    <w:p w14:paraId="021E5BF8"/>
    <w:p w14:paraId="49F534B9"/>
    <w:p w14:paraId="0249DC71"/>
    <w:p w14:paraId="1A307C15"/>
    <w:p w14:paraId="777C1BDC"/>
    <w:p w14:paraId="0F427018"/>
    <w:p w14:paraId="566008DA"/>
    <w:p w14:paraId="2F42A02F"/>
    <w:p w14:paraId="15B0434A"/>
    <w:p w14:paraId="446967E8"/>
    <w:p w14:paraId="32B0C869"/>
    <w:p w14:paraId="2C0D533B"/>
    <w:p w14:paraId="5C5DFAD2"/>
    <w:p w14:paraId="02630619"/>
    <w:p w14:paraId="20D7C183"/>
    <w:p w14:paraId="5DA77136"/>
    <w:p w14:paraId="5A9A78A2">
      <w:pPr>
        <w:jc w:val="center"/>
        <w:rPr>
          <w:rFonts w:hint="eastAsia"/>
          <w:sz w:val="36"/>
          <w:szCs w:val="36"/>
          <w:u w:val="none"/>
          <w:lang w:val="en-US" w:eastAsia="zh-CN"/>
        </w:rPr>
      </w:pPr>
      <w:r>
        <w:rPr>
          <w:rFonts w:hint="default"/>
          <w:sz w:val="36"/>
          <w:szCs w:val="36"/>
          <w:u w:val="none"/>
          <w:lang w:val="en-US" w:eastAsia="zh-CN"/>
        </w:rPr>
        <w:t>四川省广元市职业高级中学校</w:t>
      </w:r>
      <w:r>
        <w:rPr>
          <w:rFonts w:hint="eastAsia" w:ascii="仿宋" w:hAnsi="仿宋" w:eastAsia="仿宋" w:cs="仿宋"/>
          <w:b/>
          <w:bCs/>
          <w:color w:val="auto"/>
          <w:spacing w:val="-17"/>
          <w:kern w:val="2"/>
          <w:sz w:val="36"/>
          <w:szCs w:val="36"/>
          <w:highlight w:val="none"/>
          <w:lang w:val="en-US" w:eastAsia="zh-CN" w:bidi="ar-SA"/>
        </w:rPr>
        <w:t>学校智慧校园网站等级保护测评服务</w:t>
      </w:r>
      <w:r>
        <w:rPr>
          <w:rFonts w:hint="eastAsia"/>
          <w:sz w:val="36"/>
          <w:szCs w:val="36"/>
          <w:u w:val="none"/>
          <w:lang w:val="en-US" w:eastAsia="zh-CN"/>
        </w:rPr>
        <w:t>采购需求</w:t>
      </w:r>
    </w:p>
    <w:p w14:paraId="52472A4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一、采购项目基本情况</w:t>
      </w:r>
    </w:p>
    <w:p w14:paraId="005DBA8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val="0"/>
          <w:color w:val="auto"/>
          <w:sz w:val="28"/>
          <w:szCs w:val="28"/>
          <w:u w:val="single"/>
          <w:lang w:val="en-US"/>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.项目名称：</w:t>
      </w:r>
      <w:r>
        <w:rPr>
          <w:rFonts w:hint="eastAsia" w:ascii="仿宋" w:hAnsi="仿宋" w:eastAsia="仿宋" w:cs="仿宋"/>
          <w:b w:val="0"/>
          <w:bCs w:val="0"/>
          <w:sz w:val="28"/>
          <w:szCs w:val="28"/>
          <w:u w:val="none"/>
          <w:lang w:val="en-US" w:eastAsia="zh-CN"/>
        </w:rPr>
        <w:t>四川省广元市职业高级中学校</w:t>
      </w:r>
      <w:r>
        <w:rPr>
          <w:rFonts w:hint="eastAsia" w:ascii="仿宋" w:hAnsi="仿宋" w:eastAsia="仿宋" w:cs="仿宋"/>
          <w:b w:val="0"/>
          <w:bCs w:val="0"/>
          <w:color w:val="auto"/>
          <w:spacing w:val="-17"/>
          <w:kern w:val="2"/>
          <w:sz w:val="28"/>
          <w:szCs w:val="28"/>
          <w:highlight w:val="none"/>
          <w:lang w:val="en-US" w:eastAsia="zh-CN" w:bidi="ar-SA"/>
        </w:rPr>
        <w:t>学校智慧校园网站等级保护测评服务</w:t>
      </w:r>
      <w:r>
        <w:rPr>
          <w:rFonts w:hint="eastAsia" w:ascii="仿宋" w:hAnsi="仿宋" w:eastAsia="仿宋" w:cs="仿宋"/>
          <w:b w:val="0"/>
          <w:bCs w:val="0"/>
          <w:sz w:val="28"/>
          <w:szCs w:val="28"/>
          <w:u w:val="none"/>
          <w:lang w:val="en-US" w:eastAsia="zh-CN"/>
        </w:rPr>
        <w:t>。</w:t>
      </w:r>
    </w:p>
    <w:p w14:paraId="0C766E18">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.采购人：</w:t>
      </w:r>
      <w:r>
        <w:rPr>
          <w:rFonts w:hint="eastAsia" w:ascii="仿宋" w:hAnsi="仿宋" w:eastAsia="仿宋" w:cs="仿宋"/>
          <w:b w:val="0"/>
          <w:bCs w:val="0"/>
          <w:color w:val="auto"/>
          <w:sz w:val="28"/>
          <w:szCs w:val="28"/>
          <w:u w:val="none"/>
          <w:lang w:eastAsia="zh-CN"/>
        </w:rPr>
        <w:t>四川省广元市职业高级中学校</w:t>
      </w:r>
      <w:r>
        <w:rPr>
          <w:rFonts w:hint="eastAsia" w:ascii="仿宋" w:hAnsi="仿宋" w:eastAsia="仿宋" w:cs="仿宋"/>
          <w:b w:val="0"/>
          <w:bCs w:val="0"/>
          <w:color w:val="auto"/>
          <w:sz w:val="28"/>
          <w:szCs w:val="28"/>
          <w:u w:val="none"/>
        </w:rPr>
        <w:t>。</w:t>
      </w:r>
    </w:p>
    <w:p w14:paraId="2FEE9549">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3</w:t>
      </w:r>
      <w:r>
        <w:rPr>
          <w:rFonts w:hint="eastAsia" w:ascii="仿宋" w:hAnsi="仿宋" w:eastAsia="仿宋" w:cs="仿宋"/>
          <w:b w:val="0"/>
          <w:bCs w:val="0"/>
          <w:color w:val="auto"/>
          <w:sz w:val="28"/>
          <w:szCs w:val="28"/>
          <w:u w:val="none"/>
        </w:rPr>
        <w:t>.采购</w:t>
      </w:r>
      <w:r>
        <w:rPr>
          <w:rFonts w:hint="eastAsia" w:ascii="仿宋" w:hAnsi="仿宋" w:eastAsia="仿宋" w:cs="仿宋"/>
          <w:b w:val="0"/>
          <w:bCs w:val="0"/>
          <w:color w:val="auto"/>
          <w:sz w:val="28"/>
          <w:szCs w:val="28"/>
          <w:u w:val="none"/>
          <w:lang w:val="en-US" w:eastAsia="zh-CN"/>
        </w:rPr>
        <w:t>方式</w:t>
      </w:r>
      <w:r>
        <w:rPr>
          <w:rFonts w:hint="eastAsia" w:ascii="仿宋" w:hAnsi="仿宋" w:eastAsia="仿宋" w:cs="仿宋"/>
          <w:b w:val="0"/>
          <w:bCs w:val="0"/>
          <w:color w:val="auto"/>
          <w:sz w:val="28"/>
          <w:szCs w:val="28"/>
          <w:u w:val="none"/>
        </w:rPr>
        <w:t>：</w:t>
      </w:r>
      <w:r>
        <w:rPr>
          <w:rFonts w:hint="eastAsia" w:ascii="仿宋" w:hAnsi="仿宋" w:eastAsia="仿宋" w:cs="仿宋"/>
          <w:b w:val="0"/>
          <w:bCs w:val="0"/>
          <w:color w:val="auto"/>
          <w:sz w:val="28"/>
          <w:szCs w:val="28"/>
          <w:u w:val="none"/>
          <w:lang w:val="en-US" w:eastAsia="zh-CN"/>
        </w:rPr>
        <w:t>询价</w:t>
      </w:r>
      <w:r>
        <w:rPr>
          <w:rFonts w:hint="eastAsia" w:ascii="仿宋" w:hAnsi="仿宋" w:eastAsia="仿宋" w:cs="仿宋"/>
          <w:b w:val="0"/>
          <w:bCs w:val="0"/>
          <w:color w:val="auto"/>
          <w:sz w:val="28"/>
          <w:szCs w:val="28"/>
          <w:u w:val="none"/>
        </w:rPr>
        <w:t>。</w:t>
      </w:r>
    </w:p>
    <w:p w14:paraId="1C394B8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仿宋" w:hAnsi="仿宋" w:eastAsia="仿宋" w:cs="仿宋"/>
          <w:b/>
          <w:bCs/>
          <w:color w:val="auto"/>
          <w:sz w:val="28"/>
          <w:szCs w:val="28"/>
          <w:lang w:val="en-US"/>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资金情况</w:t>
      </w:r>
    </w:p>
    <w:p w14:paraId="7E475CA9">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lang w:val="en-US" w:eastAsia="zh-CN" w:bidi="ar"/>
        </w:rPr>
        <w:t>资金来源及金额：预算资</w:t>
      </w:r>
      <w:r>
        <w:rPr>
          <w:rFonts w:hint="eastAsia" w:ascii="仿宋" w:hAnsi="仿宋" w:eastAsia="仿宋" w:cs="仿宋"/>
          <w:color w:val="auto"/>
          <w:kern w:val="0"/>
          <w:sz w:val="28"/>
          <w:szCs w:val="28"/>
          <w:highlight w:val="none"/>
          <w:lang w:val="en-US" w:eastAsia="zh-CN" w:bidi="ar"/>
        </w:rPr>
        <w:t>金，¥4.6万元，公用经费。</w:t>
      </w:r>
    </w:p>
    <w:p w14:paraId="198171FE">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三、采购项目简介</w:t>
      </w:r>
    </w:p>
    <w:p w14:paraId="53A172D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color w:val="auto"/>
          <w:kern w:val="2"/>
          <w:sz w:val="24"/>
          <w:szCs w:val="24"/>
          <w:lang w:val="en-US" w:eastAsia="zh-CN" w:bidi="ar-SA"/>
        </w:rPr>
        <w:t>按照《中华人民共和国网络安全法》和《信息安全等级保护管理办法》等相关要求，采购网络安全等级保护测评服务供应商，对我单位相关信息系统安全等级状况开展等级测评工作，并出具等级保护测评报告。</w:t>
      </w:r>
    </w:p>
    <w:p w14:paraId="709E4DE7">
      <w:pPr>
        <w:jc w:val="both"/>
        <w:rPr>
          <w:rFonts w:hint="default"/>
          <w:sz w:val="28"/>
          <w:szCs w:val="28"/>
          <w:u w:val="none"/>
          <w:lang w:val="en-US" w:eastAsia="zh-CN"/>
        </w:rPr>
      </w:pPr>
      <w:r>
        <w:rPr>
          <w:rFonts w:hint="eastAsia"/>
          <w:sz w:val="28"/>
          <w:szCs w:val="28"/>
          <w:u w:val="none"/>
          <w:lang w:val="en-US" w:eastAsia="zh-CN"/>
        </w:rPr>
        <w:t xml:space="preserve">    四、</w:t>
      </w:r>
      <w:r>
        <w:rPr>
          <w:rFonts w:hint="eastAsia" w:ascii="仿宋" w:hAnsi="仿宋" w:eastAsia="仿宋" w:cs="仿宋"/>
          <w:b/>
          <w:bCs/>
          <w:color w:val="auto"/>
          <w:sz w:val="32"/>
          <w:szCs w:val="32"/>
        </w:rPr>
        <w:t>采购项目技术及其他商务要求</w:t>
      </w:r>
    </w:p>
    <w:p w14:paraId="17785190">
      <w:pPr>
        <w:spacing w:line="520" w:lineRule="exact"/>
        <w:jc w:val="center"/>
        <w:rPr>
          <w:rFonts w:hint="eastAsia" w:ascii="仿宋" w:hAnsi="仿宋" w:eastAsia="仿宋" w:cs="仿宋"/>
          <w:b/>
          <w:color w:val="auto"/>
          <w:sz w:val="28"/>
          <w:szCs w:val="28"/>
          <w:highlight w:val="none"/>
        </w:rPr>
      </w:pPr>
      <w:r>
        <w:rPr>
          <w:rFonts w:hint="eastAsia"/>
          <w:sz w:val="24"/>
          <w:szCs w:val="24"/>
          <w:u w:val="none"/>
          <w:lang w:val="en-US" w:eastAsia="zh-CN"/>
        </w:rPr>
        <w:t xml:space="preserve">    </w:t>
      </w:r>
      <w:r>
        <w:rPr>
          <w:rFonts w:hint="eastAsia" w:ascii="仿宋" w:hAnsi="仿宋" w:eastAsia="仿宋" w:cs="仿宋"/>
          <w:b/>
          <w:color w:val="auto"/>
          <w:sz w:val="28"/>
          <w:szCs w:val="28"/>
          <w:highlight w:val="none"/>
        </w:rPr>
        <w:t>一、项目概况</w:t>
      </w:r>
    </w:p>
    <w:p w14:paraId="12FDB252">
      <w:pPr>
        <w:numPr>
          <w:ilvl w:val="0"/>
          <w:numId w:val="0"/>
        </w:numPr>
        <w:ind w:firstLine="480" w:firstLineChars="200"/>
        <w:jc w:val="both"/>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采购人为网络安全要求，对智慧校园网站进行等保二级测评</w:t>
      </w:r>
    </w:p>
    <w:p w14:paraId="086ABB8F">
      <w:pPr>
        <w:numPr>
          <w:ilvl w:val="0"/>
          <w:numId w:val="0"/>
        </w:numPr>
        <w:spacing w:line="520" w:lineRule="exact"/>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二、服务内容及要求</w:t>
      </w:r>
    </w:p>
    <w:p w14:paraId="07403A28">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按照《中华人民共和国网络安全法》和《信息安全等级保护管理办法》等相关要求，采购网络安全等级保护测评服务供应商，对我单位相关信息系统安全等级状况开展等级测评工作，并出具等级保护测评报告。</w:t>
      </w:r>
    </w:p>
    <w:p w14:paraId="1D6A868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（1）测评内容包括技术和管理测评：</w:t>
      </w:r>
    </w:p>
    <w:p w14:paraId="1AB709E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1．技术安全性测评包括但不限于：安全物理环境、安全通信网络、安全区域边界、安全计算环境、安全管理中心。</w:t>
      </w:r>
    </w:p>
    <w:p w14:paraId="7B03091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2．管理安全测评包括但不限于：安全管理制度、安全管理机构、安全管理人员、安全建设管理、安全运维管理。</w:t>
      </w:r>
    </w:p>
    <w:p w14:paraId="3E80264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（2）测评对象及范围</w:t>
      </w:r>
    </w:p>
    <w:p w14:paraId="5549156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本次等级保护测评系统包括：</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758"/>
        <w:gridCol w:w="4019"/>
      </w:tblGrid>
      <w:tr w14:paraId="74FB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6FC63527">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3758" w:type="dxa"/>
            <w:vAlign w:val="center"/>
          </w:tcPr>
          <w:p w14:paraId="21F2103B">
            <w:pPr>
              <w:keepNext w:val="0"/>
              <w:keepLines w:val="0"/>
              <w:pageBreakBefore w:val="0"/>
              <w:kinsoku/>
              <w:wordWrap/>
              <w:overflowPunct/>
              <w:topLinePunct w:val="0"/>
              <w:autoSpaceDE/>
              <w:autoSpaceDN/>
              <w:bidi w:val="0"/>
              <w:spacing w:line="360" w:lineRule="auto"/>
              <w:ind w:left="0" w:leftChars="0" w:firstLine="480" w:firstLineChars="20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系统名称</w:t>
            </w:r>
          </w:p>
        </w:tc>
        <w:tc>
          <w:tcPr>
            <w:tcW w:w="4019" w:type="dxa"/>
            <w:vAlign w:val="center"/>
          </w:tcPr>
          <w:p w14:paraId="5E657309">
            <w:pPr>
              <w:keepNext w:val="0"/>
              <w:keepLines w:val="0"/>
              <w:pageBreakBefore w:val="0"/>
              <w:kinsoku/>
              <w:wordWrap/>
              <w:overflowPunct/>
              <w:topLinePunct w:val="0"/>
              <w:autoSpaceDE/>
              <w:autoSpaceDN/>
              <w:bidi w:val="0"/>
              <w:spacing w:line="360" w:lineRule="auto"/>
              <w:ind w:left="0" w:leftChars="0" w:firstLine="480" w:firstLineChars="20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安全保护等级</w:t>
            </w:r>
          </w:p>
        </w:tc>
      </w:tr>
      <w:tr w14:paraId="223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5CEF239B">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3758" w:type="dxa"/>
            <w:vAlign w:val="center"/>
          </w:tcPr>
          <w:p w14:paraId="5D35EB84">
            <w:pPr>
              <w:keepNext w:val="0"/>
              <w:keepLines w:val="0"/>
              <w:pageBreakBefore w:val="0"/>
              <w:kinsoku/>
              <w:wordWrap/>
              <w:overflowPunct/>
              <w:topLinePunct w:val="0"/>
              <w:autoSpaceDE/>
              <w:autoSpaceDN/>
              <w:bidi w:val="0"/>
              <w:spacing w:line="360" w:lineRule="auto"/>
              <w:ind w:left="0" w:leftChars="0" w:firstLine="480" w:firstLineChars="20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智慧校园系统</w:t>
            </w:r>
          </w:p>
        </w:tc>
        <w:tc>
          <w:tcPr>
            <w:tcW w:w="4019" w:type="dxa"/>
            <w:vAlign w:val="center"/>
          </w:tcPr>
          <w:p w14:paraId="78990A9B">
            <w:pPr>
              <w:keepNext w:val="0"/>
              <w:keepLines w:val="0"/>
              <w:pageBreakBefore w:val="0"/>
              <w:kinsoku/>
              <w:wordWrap/>
              <w:overflowPunct/>
              <w:topLinePunct w:val="0"/>
              <w:autoSpaceDE/>
              <w:autoSpaceDN/>
              <w:bidi w:val="0"/>
              <w:spacing w:line="360" w:lineRule="auto"/>
              <w:ind w:left="0" w:leftChars="0" w:firstLine="480" w:firstLineChars="20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第二级</w:t>
            </w:r>
          </w:p>
        </w:tc>
      </w:tr>
    </w:tbl>
    <w:p w14:paraId="361F433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（3）依据标准</w:t>
      </w:r>
    </w:p>
    <w:p w14:paraId="6862A0F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①《中华人民共和国网络安全法》</w:t>
      </w:r>
    </w:p>
    <w:p w14:paraId="2AC5497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②GB/T 22239-2019《信息安全技术 网络安全等级保护基本要求》</w:t>
      </w:r>
    </w:p>
    <w:p w14:paraId="6D9F529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③GB/T28448-2019《信息安全技术 网络安全等级保护测评要求》</w:t>
      </w:r>
    </w:p>
    <w:p w14:paraId="14310D5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④GB/T28449-2018《信息安全技术 网络安全等级保护测评过程指南》</w:t>
      </w:r>
    </w:p>
    <w:p w14:paraId="38DA181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⑤GB/T36627-2018《信息安全技术 网络安全等级保护测试评估技术指南》</w:t>
      </w:r>
    </w:p>
    <w:p w14:paraId="21DA7DB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⑥《信息安全等级保护管理办法》公通字 [2007] 43号</w:t>
      </w:r>
    </w:p>
    <w:p w14:paraId="2DFB812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（4）项目具体要求</w:t>
      </w:r>
    </w:p>
    <w:p w14:paraId="24976C4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信息系统安全等级保护状况进行测试评估，应包括两个方面的内容：一是安全控制测评，主要测评信息安全等级保护要求的基本安全控制在信息系统中的实施配置情况；二是系统整体测评，主要测评分析信息系统的整体安全性。其中，安全控制测评是信息系统整体安全测评的基础。</w:t>
      </w:r>
    </w:p>
    <w:p w14:paraId="6021737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安全控制测评的描述，使用工作单元方式组织。工作单元分为安全技术和安全管理两大类。安全技术测评包括：安全物理环境、安全通信网络、安全区域边界、安全计算环境、安全管理中心五个方面；安全管理测评包括：安全管理制度、安全管理机构、安全管理人员、安全建设管理、安全运维管理五个方面。</w:t>
      </w:r>
    </w:p>
    <w:p w14:paraId="7E58C69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整体测评涉及到信息系统的整体拓扑、局部结构，也关系到信息系统的具体安全功能实现和安全控制配置，与特定信息系统的实际情况紧密相关，内容复杂且充满系统个性。因此，全面地给出系统整体测评要求的完整内容、具体实施方法和明确的结果判定方法是很困难的。测评人员应根据特定信息系统的具体情况，结合本标准要求，确定系统整体测评的具体内容，在安全控制测评的基础上，重点考虑安全控制间、层面间以及区域间的相互关联关系，测评安全控制间、层面间和区域间是否存在安全功能上的增强、补充和削弱作用以及信息系统整体结构安全性、不同信息系统之间整体安全性等。</w:t>
      </w:r>
    </w:p>
    <w:p w14:paraId="2EC6BD6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投标方根据国家对信息安全等级保护工作的相关法律和技术标准要求，结合本项目的系统保护等级开展实施与之相应的检查、访谈、测试工作。</w:t>
      </w:r>
    </w:p>
    <w:p w14:paraId="195D2E0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三：测评要求</w:t>
      </w:r>
    </w:p>
    <w:p w14:paraId="26BC787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（1）安全物理环境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5"/>
        <w:gridCol w:w="1701"/>
        <w:gridCol w:w="5624"/>
      </w:tblGrid>
      <w:tr w14:paraId="33F1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1005" w:type="dxa"/>
            <w:shd w:val="clear" w:color="auto" w:fill="FFFFFF" w:themeFill="background1"/>
            <w:vAlign w:val="center"/>
          </w:tcPr>
          <w:p w14:paraId="2765917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701" w:type="dxa"/>
            <w:shd w:val="clear" w:color="auto" w:fill="FFFFFF" w:themeFill="background1"/>
            <w:vAlign w:val="center"/>
          </w:tcPr>
          <w:p w14:paraId="7E8988B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4" w:type="dxa"/>
            <w:shd w:val="clear" w:color="auto" w:fill="FFFFFF" w:themeFill="background1"/>
            <w:vAlign w:val="center"/>
          </w:tcPr>
          <w:p w14:paraId="7D4DFD0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5DC2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62" w:hRule="atLeast"/>
          <w:jc w:val="center"/>
        </w:trPr>
        <w:tc>
          <w:tcPr>
            <w:tcW w:w="1005" w:type="dxa"/>
            <w:shd w:val="clear" w:color="auto" w:fill="auto"/>
            <w:vAlign w:val="center"/>
          </w:tcPr>
          <w:p w14:paraId="49B82BE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701" w:type="dxa"/>
            <w:shd w:val="clear" w:color="auto" w:fill="auto"/>
            <w:vAlign w:val="center"/>
          </w:tcPr>
          <w:p w14:paraId="3978BD3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物理位置选择</w:t>
            </w:r>
          </w:p>
        </w:tc>
        <w:tc>
          <w:tcPr>
            <w:tcW w:w="5624" w:type="dxa"/>
            <w:shd w:val="clear" w:color="auto" w:fill="auto"/>
          </w:tcPr>
          <w:p w14:paraId="67FFDCB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通过访谈、检查机房等信息系统物理场所在位置上是否具有防雷、防风和防雨等多方面的安全防范能力。</w:t>
            </w:r>
          </w:p>
        </w:tc>
      </w:tr>
      <w:tr w14:paraId="0C1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03FDDB1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701" w:type="dxa"/>
            <w:shd w:val="clear" w:color="auto" w:fill="auto"/>
            <w:vAlign w:val="center"/>
          </w:tcPr>
          <w:p w14:paraId="3CCA9B2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物理访问控制</w:t>
            </w:r>
          </w:p>
        </w:tc>
        <w:tc>
          <w:tcPr>
            <w:tcW w:w="5624" w:type="dxa"/>
            <w:shd w:val="clear" w:color="auto" w:fill="auto"/>
          </w:tcPr>
          <w:p w14:paraId="43AE2D6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通过访谈、检查主机房出入口、机房分区域情况等过程，测评信息系统在物理访问控制方面的安全防范能力。</w:t>
            </w:r>
          </w:p>
        </w:tc>
      </w:tr>
      <w:tr w14:paraId="1467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FB8B63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701" w:type="dxa"/>
            <w:shd w:val="clear" w:color="auto" w:fill="auto"/>
            <w:vAlign w:val="center"/>
          </w:tcPr>
          <w:p w14:paraId="6C33140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防盗窃和防破坏</w:t>
            </w:r>
          </w:p>
        </w:tc>
        <w:tc>
          <w:tcPr>
            <w:tcW w:w="5624" w:type="dxa"/>
            <w:shd w:val="clear" w:color="auto" w:fill="auto"/>
          </w:tcPr>
          <w:p w14:paraId="7E94254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通过访谈、检查机房的主要设备、介质和防盗报警系统等过程，测评信息系统是否采取必要的措施预防设备、介质等丢失和被破坏。</w:t>
            </w:r>
          </w:p>
        </w:tc>
      </w:tr>
      <w:tr w14:paraId="5B0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59E0ED3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701" w:type="dxa"/>
            <w:shd w:val="clear" w:color="auto" w:fill="auto"/>
            <w:vAlign w:val="center"/>
          </w:tcPr>
          <w:p w14:paraId="24F89B7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防雷击</w:t>
            </w:r>
          </w:p>
        </w:tc>
        <w:tc>
          <w:tcPr>
            <w:tcW w:w="5624" w:type="dxa"/>
            <w:shd w:val="clear" w:color="auto" w:fill="auto"/>
          </w:tcPr>
          <w:p w14:paraId="7071DBB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通过访谈、检查机房的设计/验收文档，测评信息系统是否采取相应的措施预防雷击。</w:t>
            </w:r>
          </w:p>
        </w:tc>
      </w:tr>
      <w:tr w14:paraId="406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2528DB9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701" w:type="dxa"/>
            <w:shd w:val="clear" w:color="auto" w:fill="auto"/>
            <w:vAlign w:val="center"/>
          </w:tcPr>
          <w:p w14:paraId="2B7CF9B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防火</w:t>
            </w:r>
          </w:p>
        </w:tc>
        <w:tc>
          <w:tcPr>
            <w:tcW w:w="5624" w:type="dxa"/>
            <w:shd w:val="clear" w:color="auto" w:fill="auto"/>
          </w:tcPr>
          <w:p w14:paraId="74857EE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通过访谈、检查机房的设计/验收文档，检查机房防火设备等过程，测评信息系统是否采取必要的措施防止火灾的发生。</w:t>
            </w:r>
          </w:p>
        </w:tc>
      </w:tr>
      <w:tr w14:paraId="7C25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668C0E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1701" w:type="dxa"/>
            <w:shd w:val="clear" w:color="auto" w:fill="auto"/>
            <w:vAlign w:val="center"/>
          </w:tcPr>
          <w:p w14:paraId="2BBCA56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防水和防潮</w:t>
            </w:r>
          </w:p>
        </w:tc>
        <w:tc>
          <w:tcPr>
            <w:tcW w:w="5624" w:type="dxa"/>
            <w:shd w:val="clear" w:color="auto" w:fill="auto"/>
          </w:tcPr>
          <w:p w14:paraId="7F22FBD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通过访谈、检查机房的除潮设备等过程，测评信息系统是否采取必要措施来防止水灾和机房潮湿。</w:t>
            </w:r>
          </w:p>
        </w:tc>
      </w:tr>
      <w:tr w14:paraId="4AC2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00" w:hRule="atLeast"/>
          <w:jc w:val="center"/>
        </w:trPr>
        <w:tc>
          <w:tcPr>
            <w:tcW w:w="1005" w:type="dxa"/>
            <w:shd w:val="clear" w:color="auto" w:fill="auto"/>
            <w:vAlign w:val="center"/>
          </w:tcPr>
          <w:p w14:paraId="44B1DA5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1701" w:type="dxa"/>
            <w:shd w:val="clear" w:color="auto" w:fill="auto"/>
            <w:vAlign w:val="center"/>
          </w:tcPr>
          <w:p w14:paraId="76113AA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防静电</w:t>
            </w:r>
          </w:p>
        </w:tc>
        <w:tc>
          <w:tcPr>
            <w:tcW w:w="5624" w:type="dxa"/>
            <w:shd w:val="clear" w:color="auto" w:fill="auto"/>
          </w:tcPr>
          <w:p w14:paraId="0E0401B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通过访谈、检查机房是否采取必要措施防止静电的产生。</w:t>
            </w:r>
          </w:p>
        </w:tc>
      </w:tr>
      <w:tr w14:paraId="09CF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2BD1A67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1701" w:type="dxa"/>
            <w:shd w:val="clear" w:color="auto" w:fill="auto"/>
            <w:vAlign w:val="center"/>
          </w:tcPr>
          <w:p w14:paraId="24ECF51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温湿度控制</w:t>
            </w:r>
          </w:p>
        </w:tc>
        <w:tc>
          <w:tcPr>
            <w:tcW w:w="5624" w:type="dxa"/>
            <w:shd w:val="clear" w:color="auto" w:fill="auto"/>
          </w:tcPr>
          <w:p w14:paraId="3183012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通过访谈、检查机房温、湿度情况，是否采取必要措施对机房内的温湿度进行控制。</w:t>
            </w:r>
          </w:p>
        </w:tc>
      </w:tr>
      <w:tr w14:paraId="3D26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F0A3C1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1701" w:type="dxa"/>
            <w:shd w:val="clear" w:color="auto" w:fill="auto"/>
            <w:vAlign w:val="center"/>
          </w:tcPr>
          <w:p w14:paraId="46B0CFC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电力供应</w:t>
            </w:r>
          </w:p>
        </w:tc>
        <w:tc>
          <w:tcPr>
            <w:tcW w:w="5624" w:type="dxa"/>
            <w:shd w:val="clear" w:color="auto" w:fill="auto"/>
          </w:tcPr>
          <w:p w14:paraId="081F8B1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通过访谈、检查机房供电线路、设备等过程，是否具备提供一定的电力供应的能力。</w:t>
            </w:r>
          </w:p>
        </w:tc>
      </w:tr>
      <w:tr w14:paraId="45A5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1258BF4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1701" w:type="dxa"/>
            <w:shd w:val="clear" w:color="auto" w:fill="auto"/>
            <w:vAlign w:val="center"/>
          </w:tcPr>
          <w:p w14:paraId="71ADA3C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电磁防护</w:t>
            </w:r>
          </w:p>
        </w:tc>
        <w:tc>
          <w:tcPr>
            <w:tcW w:w="5624" w:type="dxa"/>
            <w:shd w:val="clear" w:color="auto" w:fill="auto"/>
          </w:tcPr>
          <w:p w14:paraId="2D703B7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通过访谈、检查是否具备一定的电磁防护能力。</w:t>
            </w:r>
          </w:p>
        </w:tc>
      </w:tr>
    </w:tbl>
    <w:p w14:paraId="6FF6252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（2）安全通信网络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5"/>
        <w:gridCol w:w="1692"/>
        <w:gridCol w:w="5633"/>
      </w:tblGrid>
      <w:tr w14:paraId="2453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tblHeader/>
          <w:jc w:val="center"/>
        </w:trPr>
        <w:tc>
          <w:tcPr>
            <w:tcW w:w="1005" w:type="dxa"/>
            <w:shd w:val="clear" w:color="auto" w:fill="FFFFFF" w:themeFill="background1"/>
            <w:vAlign w:val="center"/>
          </w:tcPr>
          <w:p w14:paraId="50FB7F5D">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692" w:type="dxa"/>
            <w:shd w:val="clear" w:color="auto" w:fill="FFFFFF" w:themeFill="background1"/>
            <w:vAlign w:val="center"/>
          </w:tcPr>
          <w:p w14:paraId="5B51EFEB">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33" w:type="dxa"/>
            <w:shd w:val="clear" w:color="auto" w:fill="FFFFFF" w:themeFill="background1"/>
            <w:vAlign w:val="center"/>
          </w:tcPr>
          <w:p w14:paraId="716E021B">
            <w:pPr>
              <w:keepNext w:val="0"/>
              <w:keepLines w:val="0"/>
              <w:pageBreakBefore w:val="0"/>
              <w:kinsoku/>
              <w:wordWrap/>
              <w:overflowPunct/>
              <w:topLinePunct w:val="0"/>
              <w:autoSpaceDE/>
              <w:autoSpaceDN/>
              <w:bidi w:val="0"/>
              <w:spacing w:line="360" w:lineRule="auto"/>
              <w:ind w:left="0" w:leftChars="0" w:firstLine="480" w:firstLineChars="20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4112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61" w:hRule="atLeast"/>
          <w:jc w:val="center"/>
        </w:trPr>
        <w:tc>
          <w:tcPr>
            <w:tcW w:w="1005" w:type="dxa"/>
            <w:shd w:val="clear" w:color="auto" w:fill="auto"/>
            <w:vAlign w:val="center"/>
          </w:tcPr>
          <w:p w14:paraId="38A1A3B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692" w:type="dxa"/>
            <w:shd w:val="clear" w:color="auto" w:fill="auto"/>
            <w:vAlign w:val="center"/>
          </w:tcPr>
          <w:p w14:paraId="2C12C16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网络架构</w:t>
            </w:r>
          </w:p>
        </w:tc>
        <w:tc>
          <w:tcPr>
            <w:tcW w:w="5633" w:type="dxa"/>
            <w:shd w:val="clear" w:color="auto" w:fill="auto"/>
          </w:tcPr>
          <w:p w14:paraId="66936EE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网络拓扑情况、抽查核心交换机、接入交换机和接入路由器等网络互联设备，测试系统访问路径和网络宽带分配情况等过程，测评分析网络架构与网段划分、隔离等情况的合理性和有效性，以及通信线路、关键设备硬件冗余，系统可用性保证情况。</w:t>
            </w:r>
          </w:p>
        </w:tc>
      </w:tr>
      <w:tr w14:paraId="7BBC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D00868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692" w:type="dxa"/>
            <w:shd w:val="clear" w:color="auto" w:fill="auto"/>
            <w:vAlign w:val="center"/>
          </w:tcPr>
          <w:p w14:paraId="1835571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通信传输</w:t>
            </w:r>
          </w:p>
        </w:tc>
        <w:tc>
          <w:tcPr>
            <w:tcW w:w="5633" w:type="dxa"/>
            <w:shd w:val="clear" w:color="auto" w:fill="auto"/>
          </w:tcPr>
          <w:p w14:paraId="5159C3D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通过访谈、检查、测试通信传输过程的数据完整性和保密性保护情况。</w:t>
            </w:r>
          </w:p>
        </w:tc>
      </w:tr>
      <w:tr w14:paraId="237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DC9C63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692" w:type="dxa"/>
            <w:shd w:val="clear" w:color="auto" w:fill="auto"/>
            <w:vAlign w:val="center"/>
          </w:tcPr>
          <w:p w14:paraId="40C6BB4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可信验证</w:t>
            </w:r>
          </w:p>
        </w:tc>
        <w:tc>
          <w:tcPr>
            <w:tcW w:w="5633" w:type="dxa"/>
            <w:shd w:val="clear" w:color="auto" w:fill="auto"/>
          </w:tcPr>
          <w:p w14:paraId="230C21D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通过访谈、检查通信设备的系统引导、系统程序、重要配置参数和通信应用程序等进行可信验证及应用程序的关键执行环节进行动态可信验证的保护情况。</w:t>
            </w:r>
          </w:p>
        </w:tc>
      </w:tr>
    </w:tbl>
    <w:p w14:paraId="14F29DB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（3）安全区域边界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5"/>
        <w:gridCol w:w="1704"/>
        <w:gridCol w:w="5621"/>
      </w:tblGrid>
      <w:tr w14:paraId="725D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tblHeader/>
          <w:jc w:val="center"/>
        </w:trPr>
        <w:tc>
          <w:tcPr>
            <w:tcW w:w="1005" w:type="dxa"/>
            <w:shd w:val="clear" w:color="auto" w:fill="FFFFFF" w:themeFill="background1"/>
            <w:vAlign w:val="center"/>
          </w:tcPr>
          <w:p w14:paraId="3A98750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704" w:type="dxa"/>
            <w:shd w:val="clear" w:color="auto" w:fill="FFFFFF" w:themeFill="background1"/>
            <w:vAlign w:val="center"/>
          </w:tcPr>
          <w:p w14:paraId="05CF673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1" w:type="dxa"/>
            <w:shd w:val="clear" w:color="auto" w:fill="FFFFFF" w:themeFill="background1"/>
            <w:vAlign w:val="center"/>
          </w:tcPr>
          <w:p w14:paraId="00B672C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7BFD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D7564C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704" w:type="dxa"/>
            <w:shd w:val="clear" w:color="auto" w:fill="auto"/>
            <w:vAlign w:val="center"/>
          </w:tcPr>
          <w:p w14:paraId="1BA7550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边界防护</w:t>
            </w:r>
          </w:p>
        </w:tc>
        <w:tc>
          <w:tcPr>
            <w:tcW w:w="5621" w:type="dxa"/>
            <w:shd w:val="clear" w:color="auto" w:fill="auto"/>
          </w:tcPr>
          <w:p w14:paraId="7D74917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通过访谈、检查、测试边界完整性检查设备，测评分析跨域边界的访问控制和数据流通过边界设备的控制措施，非法内联、外联、无线准入控制的监测、阻断等能力。</w:t>
            </w:r>
          </w:p>
        </w:tc>
      </w:tr>
      <w:tr w14:paraId="2923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5" w:hRule="atLeast"/>
          <w:jc w:val="center"/>
        </w:trPr>
        <w:tc>
          <w:tcPr>
            <w:tcW w:w="1005" w:type="dxa"/>
            <w:shd w:val="clear" w:color="auto" w:fill="auto"/>
            <w:vAlign w:val="center"/>
          </w:tcPr>
          <w:p w14:paraId="5600A72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704" w:type="dxa"/>
            <w:shd w:val="clear" w:color="auto" w:fill="auto"/>
            <w:vAlign w:val="center"/>
          </w:tcPr>
          <w:p w14:paraId="721AA9B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访问控制</w:t>
            </w:r>
          </w:p>
        </w:tc>
        <w:tc>
          <w:tcPr>
            <w:tcW w:w="5621" w:type="dxa"/>
            <w:shd w:val="clear" w:color="auto" w:fill="auto"/>
          </w:tcPr>
          <w:p w14:paraId="03ECA93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通过访谈、检查、测试网络访问控制设备策略部署，测试系统对外暴露安全漏洞情况等过程，测评分析对进出网络的数据流量控制以及基于应用协议和应用内容的访问控制能力。</w:t>
            </w:r>
          </w:p>
        </w:tc>
      </w:tr>
      <w:tr w14:paraId="13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559060A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704" w:type="dxa"/>
            <w:shd w:val="clear" w:color="auto" w:fill="auto"/>
            <w:vAlign w:val="center"/>
          </w:tcPr>
          <w:p w14:paraId="1ED92D7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入侵防范</w:t>
            </w:r>
          </w:p>
        </w:tc>
        <w:tc>
          <w:tcPr>
            <w:tcW w:w="5621" w:type="dxa"/>
            <w:shd w:val="clear" w:color="auto" w:fill="auto"/>
          </w:tcPr>
          <w:p w14:paraId="0CB190D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网络边界处、关键网络节点检测、防止或限制从内部和外部发起网络攻击行为的防护能力，以及网络行为分析、监测、报警能力，特别是新型网络攻击行为的分析，对攻击行为的检测是否涉及攻击源、攻击类型、攻击目标、攻击事件、入侵报警等方面的防范能力。</w:t>
            </w:r>
          </w:p>
        </w:tc>
      </w:tr>
      <w:tr w14:paraId="76CC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456414F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704" w:type="dxa"/>
            <w:shd w:val="clear" w:color="auto" w:fill="auto"/>
            <w:vAlign w:val="center"/>
          </w:tcPr>
          <w:p w14:paraId="2B85015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恶意代码和防垃圾邮件</w:t>
            </w:r>
          </w:p>
        </w:tc>
        <w:tc>
          <w:tcPr>
            <w:tcW w:w="5621" w:type="dxa"/>
            <w:shd w:val="clear" w:color="auto" w:fill="auto"/>
          </w:tcPr>
          <w:p w14:paraId="2891A75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通过访谈、检查、测试关键网络节点处对恶意代码、垃圾邮件进行检测、防护和清除、恶意代码防护机制的升级和更新维护等情况。</w:t>
            </w:r>
          </w:p>
        </w:tc>
      </w:tr>
      <w:tr w14:paraId="7FA6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2B283C4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704" w:type="dxa"/>
            <w:shd w:val="clear" w:color="auto" w:fill="auto"/>
            <w:vAlign w:val="center"/>
          </w:tcPr>
          <w:p w14:paraId="419CB46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安全审计</w:t>
            </w:r>
          </w:p>
        </w:tc>
        <w:tc>
          <w:tcPr>
            <w:tcW w:w="5621" w:type="dxa"/>
            <w:shd w:val="clear" w:color="auto" w:fill="auto"/>
          </w:tcPr>
          <w:p w14:paraId="33C09F2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通过访谈、检查网络边界、重要网络节点安全审计情况等，测评分析信息系统审计配置和审计记录保护，审计内容等情况。</w:t>
            </w:r>
          </w:p>
        </w:tc>
      </w:tr>
      <w:tr w14:paraId="7FB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1E7C27D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1704" w:type="dxa"/>
            <w:shd w:val="clear" w:color="auto" w:fill="auto"/>
            <w:vAlign w:val="center"/>
          </w:tcPr>
          <w:p w14:paraId="1C11C2E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可信验证</w:t>
            </w:r>
          </w:p>
        </w:tc>
        <w:tc>
          <w:tcPr>
            <w:tcW w:w="5621" w:type="dxa"/>
            <w:shd w:val="clear" w:color="auto" w:fill="auto"/>
          </w:tcPr>
          <w:p w14:paraId="706F7A5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通过访谈、检查边界设备的系统引导、系统程序、重要配置参数和边界防护应用程序等进行可信验证及应用程序的关键执行环节进行动态可信验证的保护情况。</w:t>
            </w:r>
          </w:p>
        </w:tc>
      </w:tr>
    </w:tbl>
    <w:p w14:paraId="7696A6F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（4）安全计算环境</w:t>
      </w:r>
    </w:p>
    <w:tbl>
      <w:tblPr>
        <w:tblStyle w:val="4"/>
        <w:tblW w:w="8322" w:type="dxa"/>
        <w:jc w:val="center"/>
        <w:tblLayout w:type="fixed"/>
        <w:tblCellMar>
          <w:top w:w="57" w:type="dxa"/>
          <w:left w:w="108" w:type="dxa"/>
          <w:bottom w:w="57" w:type="dxa"/>
          <w:right w:w="108" w:type="dxa"/>
        </w:tblCellMar>
      </w:tblPr>
      <w:tblGrid>
        <w:gridCol w:w="923"/>
        <w:gridCol w:w="1800"/>
        <w:gridCol w:w="5599"/>
      </w:tblGrid>
      <w:tr w14:paraId="6DD82F3A">
        <w:tblPrEx>
          <w:tblCellMar>
            <w:top w:w="57" w:type="dxa"/>
            <w:left w:w="108" w:type="dxa"/>
            <w:bottom w:w="57" w:type="dxa"/>
            <w:right w:w="108" w:type="dxa"/>
          </w:tblCellMar>
        </w:tblPrEx>
        <w:trPr>
          <w:trHeight w:val="602" w:hRule="atLeast"/>
          <w:tblHeade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F85F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800" w:type="dxa"/>
            <w:tcBorders>
              <w:top w:val="single" w:color="auto" w:sz="4" w:space="0"/>
              <w:left w:val="nil"/>
              <w:bottom w:val="single" w:color="auto" w:sz="4" w:space="0"/>
              <w:right w:val="single" w:color="auto" w:sz="4" w:space="0"/>
            </w:tcBorders>
            <w:shd w:val="clear" w:color="auto" w:fill="FFFFFF" w:themeFill="background1"/>
            <w:noWrap/>
            <w:vAlign w:val="center"/>
          </w:tcPr>
          <w:p w14:paraId="7913AF9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599" w:type="dxa"/>
            <w:tcBorders>
              <w:top w:val="single" w:color="auto" w:sz="4" w:space="0"/>
              <w:left w:val="nil"/>
              <w:bottom w:val="single" w:color="auto" w:sz="4" w:space="0"/>
              <w:right w:val="single" w:color="auto" w:sz="4" w:space="0"/>
            </w:tcBorders>
            <w:shd w:val="clear" w:color="auto" w:fill="FFFFFF" w:themeFill="background1"/>
            <w:noWrap/>
            <w:vAlign w:val="center"/>
          </w:tcPr>
          <w:p w14:paraId="03444A0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34AF24CE">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8B19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1E2DA6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身份鉴别</w:t>
            </w:r>
          </w:p>
        </w:tc>
        <w:tc>
          <w:tcPr>
            <w:tcW w:w="5599" w:type="dxa"/>
            <w:tcBorders>
              <w:top w:val="single" w:color="auto" w:sz="4" w:space="0"/>
              <w:left w:val="nil"/>
              <w:bottom w:val="single" w:color="auto" w:sz="4" w:space="0"/>
              <w:right w:val="single" w:color="auto" w:sz="4" w:space="0"/>
            </w:tcBorders>
            <w:shd w:val="clear" w:color="auto" w:fill="auto"/>
            <w:vAlign w:val="center"/>
          </w:tcPr>
          <w:p w14:paraId="46E0AF3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通过访谈、检查、测试对登录的用户进行身份标识和鉴别，是否具有不易被冒用的特点，口令应有复杂度要求并定期更换，以及远程管理安全、双因素鉴别等内容。</w:t>
            </w:r>
          </w:p>
        </w:tc>
      </w:tr>
      <w:tr w14:paraId="03C1DEDF">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3B96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B8D1BC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访问控制</w:t>
            </w:r>
          </w:p>
        </w:tc>
        <w:tc>
          <w:tcPr>
            <w:tcW w:w="5599" w:type="dxa"/>
            <w:tcBorders>
              <w:top w:val="single" w:color="auto" w:sz="4" w:space="0"/>
              <w:left w:val="nil"/>
              <w:bottom w:val="single" w:color="auto" w:sz="4" w:space="0"/>
              <w:right w:val="single" w:color="auto" w:sz="4" w:space="0"/>
            </w:tcBorders>
            <w:shd w:val="clear" w:color="auto" w:fill="auto"/>
            <w:vAlign w:val="center"/>
          </w:tcPr>
          <w:p w14:paraId="6F6EABC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通过访谈、检查、测试是否启用访问控制功能，依据安全策略控制用户对资源的访问；是否根据管理用户的角色分配权限，实现管理用户的权限分离，仅授予管理用户所需的最小权限等内容。</w:t>
            </w:r>
          </w:p>
        </w:tc>
      </w:tr>
      <w:tr w14:paraId="33191190">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FCD2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BF321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安全审计</w:t>
            </w:r>
          </w:p>
        </w:tc>
        <w:tc>
          <w:tcPr>
            <w:tcW w:w="5599" w:type="dxa"/>
            <w:tcBorders>
              <w:top w:val="single" w:color="auto" w:sz="4" w:space="0"/>
              <w:left w:val="nil"/>
              <w:bottom w:val="single" w:color="auto" w:sz="4" w:space="0"/>
              <w:right w:val="single" w:color="auto" w:sz="4" w:space="0"/>
            </w:tcBorders>
            <w:shd w:val="clear" w:color="auto" w:fill="auto"/>
            <w:vAlign w:val="center"/>
          </w:tcPr>
          <w:p w14:paraId="63F1175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通过访谈、检查安全审计范围及内容。</w:t>
            </w:r>
          </w:p>
        </w:tc>
      </w:tr>
      <w:tr w14:paraId="34F839BE">
        <w:tblPrEx>
          <w:tblCellMar>
            <w:top w:w="57" w:type="dxa"/>
            <w:left w:w="108" w:type="dxa"/>
            <w:bottom w:w="57" w:type="dxa"/>
            <w:right w:w="108" w:type="dxa"/>
          </w:tblCellMar>
        </w:tblPrEx>
        <w:trPr>
          <w:trHeight w:val="45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39A8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20CF9D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入侵防范</w:t>
            </w:r>
          </w:p>
        </w:tc>
        <w:tc>
          <w:tcPr>
            <w:tcW w:w="5599" w:type="dxa"/>
            <w:tcBorders>
              <w:top w:val="single" w:color="auto" w:sz="4" w:space="0"/>
              <w:left w:val="nil"/>
              <w:bottom w:val="single" w:color="auto" w:sz="4" w:space="0"/>
              <w:right w:val="single" w:color="auto" w:sz="4" w:space="0"/>
            </w:tcBorders>
            <w:shd w:val="clear" w:color="auto" w:fill="auto"/>
            <w:vAlign w:val="center"/>
          </w:tcPr>
          <w:p w14:paraId="26DADA5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是否能够检测到对重要节点进行入侵的行为，能够记录入侵的源IP、攻击的类型、攻击的目的、攻击的时间，并在发生严重入侵事件时提供报警，是否遵循最小化安全装原则、系统服务、默认共享和高危端口、终端接入限制、数据有效性检验、已知漏洞防护等内容。</w:t>
            </w:r>
          </w:p>
        </w:tc>
      </w:tr>
      <w:tr w14:paraId="5FDF894B">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BEF9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7B324D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恶意代码防范</w:t>
            </w:r>
          </w:p>
        </w:tc>
        <w:tc>
          <w:tcPr>
            <w:tcW w:w="5599" w:type="dxa"/>
            <w:tcBorders>
              <w:top w:val="single" w:color="auto" w:sz="4" w:space="0"/>
              <w:left w:val="nil"/>
              <w:bottom w:val="single" w:color="auto" w:sz="4" w:space="0"/>
              <w:right w:val="single" w:color="auto" w:sz="4" w:space="0"/>
            </w:tcBorders>
            <w:shd w:val="clear" w:color="auto" w:fill="auto"/>
            <w:vAlign w:val="center"/>
          </w:tcPr>
          <w:p w14:paraId="2E99DDD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通过访谈、检查、测试是否具有防恶意代码攻击的技术措施或主动免疫可信验证机制，能否及时识别入侵和病毒行为并将其有效阻断等内容。</w:t>
            </w:r>
          </w:p>
        </w:tc>
      </w:tr>
      <w:tr w14:paraId="406401D2">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2F17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F1544C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可信验证</w:t>
            </w:r>
          </w:p>
        </w:tc>
        <w:tc>
          <w:tcPr>
            <w:tcW w:w="5599" w:type="dxa"/>
            <w:tcBorders>
              <w:top w:val="single" w:color="auto" w:sz="4" w:space="0"/>
              <w:left w:val="nil"/>
              <w:bottom w:val="single" w:color="auto" w:sz="4" w:space="0"/>
              <w:right w:val="single" w:color="auto" w:sz="4" w:space="0"/>
            </w:tcBorders>
            <w:shd w:val="clear" w:color="auto" w:fill="auto"/>
          </w:tcPr>
          <w:p w14:paraId="3DFD7AF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通过访谈、通过访谈安全员，检查计算设备的系统引导、系统程序、重要配置参数和应用程序等进行可信验证及应用程序的关键执行环节进行动态可信验证的保护情况。</w:t>
            </w:r>
          </w:p>
        </w:tc>
      </w:tr>
      <w:tr w14:paraId="2BAA884C">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69AD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D8E59B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数据完整性</w:t>
            </w:r>
          </w:p>
        </w:tc>
        <w:tc>
          <w:tcPr>
            <w:tcW w:w="5599" w:type="dxa"/>
            <w:tcBorders>
              <w:top w:val="single" w:color="auto" w:sz="4" w:space="0"/>
              <w:left w:val="nil"/>
              <w:bottom w:val="single" w:color="auto" w:sz="4" w:space="0"/>
              <w:right w:val="single" w:color="auto" w:sz="4" w:space="0"/>
            </w:tcBorders>
            <w:shd w:val="clear" w:color="auto" w:fill="auto"/>
            <w:vAlign w:val="center"/>
          </w:tcPr>
          <w:p w14:paraId="4914526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通过访谈、检查、测试重要数据在传输和存储过程中的完整性保护情况，包括鉴别数据、重要业务数据、重要审计数据、重要配置数据、重要视频数据和重要个人信息等。</w:t>
            </w:r>
          </w:p>
        </w:tc>
      </w:tr>
      <w:tr w14:paraId="5E8FABF3">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B92A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0757EE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数据保密性</w:t>
            </w:r>
          </w:p>
        </w:tc>
        <w:tc>
          <w:tcPr>
            <w:tcW w:w="5599" w:type="dxa"/>
            <w:tcBorders>
              <w:top w:val="single" w:color="auto" w:sz="4" w:space="0"/>
              <w:left w:val="nil"/>
              <w:bottom w:val="single" w:color="auto" w:sz="4" w:space="0"/>
              <w:right w:val="single" w:color="auto" w:sz="4" w:space="0"/>
            </w:tcBorders>
            <w:shd w:val="clear" w:color="auto" w:fill="auto"/>
            <w:vAlign w:val="center"/>
          </w:tcPr>
          <w:p w14:paraId="2692889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通过访谈、检查、测试重要数据在传输和存储过程中的保密性保护情况，包括鉴别数据、重要业务数据、重要审计数据、重要配置数据、重要视频数据和重要个人信息等。</w:t>
            </w:r>
          </w:p>
        </w:tc>
      </w:tr>
      <w:tr w14:paraId="3B04B124">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7CF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4FAFAF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数据备份恢复</w:t>
            </w:r>
          </w:p>
        </w:tc>
        <w:tc>
          <w:tcPr>
            <w:tcW w:w="5599" w:type="dxa"/>
            <w:tcBorders>
              <w:top w:val="single" w:color="auto" w:sz="4" w:space="0"/>
              <w:left w:val="nil"/>
              <w:bottom w:val="single" w:color="auto" w:sz="4" w:space="0"/>
              <w:right w:val="single" w:color="auto" w:sz="4" w:space="0"/>
            </w:tcBorders>
            <w:shd w:val="clear" w:color="auto" w:fill="auto"/>
            <w:vAlign w:val="center"/>
          </w:tcPr>
          <w:p w14:paraId="1B7A39B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通过访谈、检查、测试重要数据本地备份与恢复功能，异地实时备份功能，以及重要数据处理系统的热冗余和高可用性保证等。</w:t>
            </w:r>
          </w:p>
        </w:tc>
      </w:tr>
      <w:tr w14:paraId="71C29B56">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C8A7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229EA8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剩余信息保护</w:t>
            </w:r>
          </w:p>
        </w:tc>
        <w:tc>
          <w:tcPr>
            <w:tcW w:w="5599" w:type="dxa"/>
            <w:tcBorders>
              <w:top w:val="single" w:color="auto" w:sz="4" w:space="0"/>
              <w:left w:val="nil"/>
              <w:bottom w:val="single" w:color="auto" w:sz="4" w:space="0"/>
              <w:right w:val="single" w:color="auto" w:sz="4" w:space="0"/>
            </w:tcBorders>
            <w:shd w:val="clear" w:color="auto" w:fill="auto"/>
            <w:vAlign w:val="center"/>
          </w:tcPr>
          <w:p w14:paraId="1D160B7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通过访谈、检查、测试边界信息在存储空间被释放或重新分配前是否有效清除，存有敏感数据的存储空间被释放或重新分配前是否有效清除等。</w:t>
            </w:r>
          </w:p>
        </w:tc>
      </w:tr>
      <w:tr w14:paraId="3945EF6F">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E318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E4F92B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个人信息保护</w:t>
            </w:r>
          </w:p>
        </w:tc>
        <w:tc>
          <w:tcPr>
            <w:tcW w:w="5599" w:type="dxa"/>
            <w:tcBorders>
              <w:top w:val="single" w:color="auto" w:sz="4" w:space="0"/>
              <w:left w:val="nil"/>
              <w:bottom w:val="single" w:color="auto" w:sz="4" w:space="0"/>
              <w:right w:val="single" w:color="auto" w:sz="4" w:space="0"/>
            </w:tcBorders>
            <w:shd w:val="clear" w:color="auto" w:fill="auto"/>
            <w:vAlign w:val="center"/>
          </w:tcPr>
          <w:p w14:paraId="7DBC3B9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通过访谈、检查、测试是否仅采集和保存业务必须的用户个人信息，对用户个人信息的访问和使用等。</w:t>
            </w:r>
          </w:p>
        </w:tc>
      </w:tr>
    </w:tbl>
    <w:p w14:paraId="4AFF535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（5）安全管理中心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8"/>
        <w:gridCol w:w="1910"/>
        <w:gridCol w:w="5592"/>
      </w:tblGrid>
      <w:tr w14:paraId="710C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1" w:hRule="atLeast"/>
          <w:tblHeader/>
          <w:jc w:val="center"/>
        </w:trPr>
        <w:tc>
          <w:tcPr>
            <w:tcW w:w="828" w:type="dxa"/>
            <w:shd w:val="clear" w:color="auto" w:fill="FFFFFF" w:themeFill="background1"/>
            <w:vAlign w:val="center"/>
          </w:tcPr>
          <w:p w14:paraId="402DC8B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910" w:type="dxa"/>
            <w:shd w:val="clear" w:color="auto" w:fill="FFFFFF" w:themeFill="background1"/>
            <w:vAlign w:val="center"/>
          </w:tcPr>
          <w:p w14:paraId="3778E0B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592" w:type="dxa"/>
            <w:shd w:val="clear" w:color="auto" w:fill="FFFFFF" w:themeFill="background1"/>
            <w:vAlign w:val="center"/>
          </w:tcPr>
          <w:p w14:paraId="335222C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4FE0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shd w:val="clear" w:color="auto" w:fill="auto"/>
            <w:vAlign w:val="center"/>
          </w:tcPr>
          <w:p w14:paraId="18C5B9A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910" w:type="dxa"/>
            <w:shd w:val="clear" w:color="auto" w:fill="auto"/>
            <w:vAlign w:val="center"/>
          </w:tcPr>
          <w:p w14:paraId="746FEC2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系统管理</w:t>
            </w:r>
          </w:p>
        </w:tc>
        <w:tc>
          <w:tcPr>
            <w:tcW w:w="5592" w:type="dxa"/>
            <w:shd w:val="clear" w:color="auto" w:fill="auto"/>
            <w:vAlign w:val="center"/>
          </w:tcPr>
          <w:p w14:paraId="04C3354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通过访谈、检查、测试对系统管理员身份鉴别、命令或操作管理、操作审计，以及是否通过系统管理对系统资源和运行进行配置、控制和管理等。</w:t>
            </w:r>
          </w:p>
        </w:tc>
      </w:tr>
      <w:tr w14:paraId="094C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shd w:val="clear" w:color="auto" w:fill="auto"/>
            <w:vAlign w:val="center"/>
          </w:tcPr>
          <w:p w14:paraId="62CA06F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910" w:type="dxa"/>
            <w:shd w:val="clear" w:color="auto" w:fill="auto"/>
            <w:vAlign w:val="center"/>
          </w:tcPr>
          <w:p w14:paraId="7B799BE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审计管理</w:t>
            </w:r>
          </w:p>
        </w:tc>
        <w:tc>
          <w:tcPr>
            <w:tcW w:w="5592" w:type="dxa"/>
            <w:shd w:val="clear" w:color="auto" w:fill="auto"/>
            <w:vAlign w:val="center"/>
          </w:tcPr>
          <w:p w14:paraId="035FB26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通过访谈、检查、测试对审计管理员身份鉴别、命令或操作管理、操作审计，以及是否通过审计管理员对审计策略、审计记录进行分析、处理等。</w:t>
            </w:r>
          </w:p>
        </w:tc>
      </w:tr>
      <w:tr w14:paraId="6038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8" w:hRule="atLeast"/>
          <w:jc w:val="center"/>
        </w:trPr>
        <w:tc>
          <w:tcPr>
            <w:tcW w:w="828" w:type="dxa"/>
            <w:shd w:val="clear" w:color="auto" w:fill="auto"/>
            <w:vAlign w:val="center"/>
          </w:tcPr>
          <w:p w14:paraId="47C4B75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910" w:type="dxa"/>
            <w:shd w:val="clear" w:color="auto" w:fill="auto"/>
            <w:vAlign w:val="center"/>
          </w:tcPr>
          <w:p w14:paraId="60B9FB1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安全管理</w:t>
            </w:r>
          </w:p>
        </w:tc>
        <w:tc>
          <w:tcPr>
            <w:tcW w:w="5592" w:type="dxa"/>
            <w:shd w:val="clear" w:color="auto" w:fill="auto"/>
            <w:vAlign w:val="center"/>
          </w:tcPr>
          <w:p w14:paraId="59E2789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通过访谈、检查、测试对安全管理员身份鉴别、命令或操作管理、操作审计，以及是否通过安全管理员对安全策略、参数进行配置等。</w:t>
            </w:r>
          </w:p>
        </w:tc>
      </w:tr>
      <w:tr w14:paraId="6E84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shd w:val="clear" w:color="auto" w:fill="auto"/>
            <w:vAlign w:val="center"/>
          </w:tcPr>
          <w:p w14:paraId="6E48B6F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910" w:type="dxa"/>
            <w:shd w:val="clear" w:color="auto" w:fill="auto"/>
            <w:vAlign w:val="center"/>
          </w:tcPr>
          <w:p w14:paraId="769FBC7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集中管控</w:t>
            </w:r>
          </w:p>
        </w:tc>
        <w:tc>
          <w:tcPr>
            <w:tcW w:w="5592" w:type="dxa"/>
            <w:shd w:val="clear" w:color="auto" w:fill="auto"/>
            <w:vAlign w:val="center"/>
          </w:tcPr>
          <w:p w14:paraId="690E8EA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等。</w:t>
            </w:r>
          </w:p>
        </w:tc>
      </w:tr>
    </w:tbl>
    <w:p w14:paraId="6A76B47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（6）安全管理制度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8"/>
        <w:gridCol w:w="1725"/>
        <w:gridCol w:w="5597"/>
      </w:tblGrid>
      <w:tr w14:paraId="009E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themeFill="background1"/>
            <w:vAlign w:val="center"/>
          </w:tcPr>
          <w:p w14:paraId="66F6CC4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725" w:type="dxa"/>
            <w:shd w:val="clear" w:color="auto" w:fill="FFFFFF" w:themeFill="background1"/>
            <w:vAlign w:val="center"/>
          </w:tcPr>
          <w:p w14:paraId="25082B8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597" w:type="dxa"/>
            <w:shd w:val="clear" w:color="auto" w:fill="FFFFFF" w:themeFill="background1"/>
            <w:vAlign w:val="center"/>
          </w:tcPr>
          <w:p w14:paraId="457A51B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7817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4D45C68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725" w:type="dxa"/>
            <w:shd w:val="clear" w:color="auto" w:fill="auto"/>
            <w:vAlign w:val="center"/>
          </w:tcPr>
          <w:p w14:paraId="08DEE56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安全策略</w:t>
            </w:r>
          </w:p>
        </w:tc>
        <w:tc>
          <w:tcPr>
            <w:tcW w:w="5597" w:type="dxa"/>
            <w:shd w:val="clear" w:color="auto" w:fill="auto"/>
            <w:vAlign w:val="center"/>
          </w:tcPr>
          <w:p w14:paraId="6A130E4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通过访谈、检查网络安全工作的总体方针及安全策略是否全面、完善。</w:t>
            </w:r>
          </w:p>
        </w:tc>
      </w:tr>
      <w:tr w14:paraId="326A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4746384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725" w:type="dxa"/>
            <w:shd w:val="clear" w:color="auto" w:fill="auto"/>
            <w:vAlign w:val="center"/>
          </w:tcPr>
          <w:p w14:paraId="6BE8BAB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管理制度</w:t>
            </w:r>
          </w:p>
        </w:tc>
        <w:tc>
          <w:tcPr>
            <w:tcW w:w="5597" w:type="dxa"/>
            <w:shd w:val="clear" w:color="auto" w:fill="auto"/>
            <w:vAlign w:val="center"/>
          </w:tcPr>
          <w:p w14:paraId="5A4F61D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通过访谈、检查管理制度的制定和发布过程是否遵循一定的流程。</w:t>
            </w:r>
          </w:p>
        </w:tc>
      </w:tr>
      <w:tr w14:paraId="6395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2791B9D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725" w:type="dxa"/>
            <w:shd w:val="clear" w:color="auto" w:fill="auto"/>
            <w:vAlign w:val="center"/>
          </w:tcPr>
          <w:p w14:paraId="1C94086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制度和发布</w:t>
            </w:r>
          </w:p>
        </w:tc>
        <w:tc>
          <w:tcPr>
            <w:tcW w:w="5597" w:type="dxa"/>
            <w:shd w:val="clear" w:color="auto" w:fill="auto"/>
            <w:vAlign w:val="center"/>
          </w:tcPr>
          <w:p w14:paraId="761375A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通过访谈、检查管理制度定期评审和修订情况。</w:t>
            </w:r>
          </w:p>
        </w:tc>
      </w:tr>
      <w:tr w14:paraId="3A29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09A199F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725" w:type="dxa"/>
            <w:shd w:val="clear" w:color="auto" w:fill="auto"/>
            <w:vAlign w:val="center"/>
          </w:tcPr>
          <w:p w14:paraId="179BAAE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评审和修订</w:t>
            </w:r>
          </w:p>
        </w:tc>
        <w:tc>
          <w:tcPr>
            <w:tcW w:w="5597" w:type="dxa"/>
            <w:shd w:val="clear" w:color="auto" w:fill="auto"/>
            <w:vAlign w:val="center"/>
          </w:tcPr>
          <w:p w14:paraId="49F7955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通过访谈、检查管理制度在内容覆盖上是否全面、完善。</w:t>
            </w:r>
          </w:p>
        </w:tc>
      </w:tr>
    </w:tbl>
    <w:p w14:paraId="76A49C1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（7）安全管理机构</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5"/>
        <w:gridCol w:w="1701"/>
        <w:gridCol w:w="5624"/>
      </w:tblGrid>
      <w:tr w14:paraId="327E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5" w:type="dxa"/>
            <w:shd w:val="clear" w:color="auto" w:fill="FFFFFF" w:themeFill="background1"/>
            <w:vAlign w:val="center"/>
          </w:tcPr>
          <w:p w14:paraId="24048F8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701" w:type="dxa"/>
            <w:shd w:val="clear" w:color="auto" w:fill="FFFFFF" w:themeFill="background1"/>
            <w:vAlign w:val="center"/>
          </w:tcPr>
          <w:p w14:paraId="5E02BCA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4" w:type="dxa"/>
            <w:shd w:val="clear" w:color="auto" w:fill="FFFFFF" w:themeFill="background1"/>
            <w:vAlign w:val="center"/>
          </w:tcPr>
          <w:p w14:paraId="2A0C3C9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4B8E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3260677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701" w:type="dxa"/>
            <w:shd w:val="clear" w:color="auto" w:fill="auto"/>
            <w:vAlign w:val="center"/>
          </w:tcPr>
          <w:p w14:paraId="376D05B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岗位设置</w:t>
            </w:r>
          </w:p>
        </w:tc>
        <w:tc>
          <w:tcPr>
            <w:tcW w:w="5624" w:type="dxa"/>
            <w:shd w:val="clear" w:color="auto" w:fill="auto"/>
            <w:vAlign w:val="center"/>
          </w:tcPr>
          <w:p w14:paraId="6C81D32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通过访谈、检查安全主管部门设置情况以及各岗位设置和岗位职责情况。</w:t>
            </w:r>
          </w:p>
        </w:tc>
      </w:tr>
      <w:tr w14:paraId="4E78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4124623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701" w:type="dxa"/>
            <w:shd w:val="clear" w:color="auto" w:fill="auto"/>
            <w:vAlign w:val="center"/>
          </w:tcPr>
          <w:p w14:paraId="2BD90C6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人员配备</w:t>
            </w:r>
          </w:p>
        </w:tc>
        <w:tc>
          <w:tcPr>
            <w:tcW w:w="5624" w:type="dxa"/>
            <w:shd w:val="clear" w:color="auto" w:fill="auto"/>
            <w:vAlign w:val="center"/>
          </w:tcPr>
          <w:p w14:paraId="40BDDA9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通过访谈、检查各个岗位人员配备情况。</w:t>
            </w:r>
          </w:p>
        </w:tc>
      </w:tr>
      <w:tr w14:paraId="0390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77D189D8">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701" w:type="dxa"/>
            <w:shd w:val="clear" w:color="auto" w:fill="auto"/>
            <w:vAlign w:val="center"/>
          </w:tcPr>
          <w:p w14:paraId="3CA2164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授权和审批</w:t>
            </w:r>
          </w:p>
        </w:tc>
        <w:tc>
          <w:tcPr>
            <w:tcW w:w="5624" w:type="dxa"/>
            <w:shd w:val="clear" w:color="auto" w:fill="auto"/>
            <w:vAlign w:val="center"/>
          </w:tcPr>
          <w:p w14:paraId="313CC64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通过访谈、检查对关键活动的授权和审批情况。</w:t>
            </w:r>
          </w:p>
        </w:tc>
      </w:tr>
      <w:tr w14:paraId="5D7D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599E39A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701" w:type="dxa"/>
            <w:shd w:val="clear" w:color="auto" w:fill="auto"/>
            <w:vAlign w:val="center"/>
          </w:tcPr>
          <w:p w14:paraId="26170B1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沟通和合作</w:t>
            </w:r>
          </w:p>
        </w:tc>
        <w:tc>
          <w:tcPr>
            <w:tcW w:w="5624" w:type="dxa"/>
            <w:shd w:val="clear" w:color="auto" w:fill="auto"/>
            <w:vAlign w:val="center"/>
          </w:tcPr>
          <w:p w14:paraId="5D1082F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通过访谈、检查内部部门间、与外部单位间的沟通与合作情况。</w:t>
            </w:r>
          </w:p>
        </w:tc>
      </w:tr>
      <w:tr w14:paraId="5C3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shd w:val="clear" w:color="auto" w:fill="auto"/>
            <w:vAlign w:val="center"/>
          </w:tcPr>
          <w:p w14:paraId="42494548">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701" w:type="dxa"/>
            <w:shd w:val="clear" w:color="auto" w:fill="auto"/>
            <w:vAlign w:val="center"/>
          </w:tcPr>
          <w:p w14:paraId="0FF3A5C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审核和检查</w:t>
            </w:r>
          </w:p>
        </w:tc>
        <w:tc>
          <w:tcPr>
            <w:tcW w:w="5624" w:type="dxa"/>
            <w:shd w:val="clear" w:color="auto" w:fill="auto"/>
            <w:vAlign w:val="center"/>
          </w:tcPr>
          <w:p w14:paraId="112BE69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通过访谈、检查安全工作的审核和检查情况。</w:t>
            </w:r>
          </w:p>
        </w:tc>
      </w:tr>
    </w:tbl>
    <w:p w14:paraId="1000636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（8）安全管理人员</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8"/>
        <w:gridCol w:w="1698"/>
        <w:gridCol w:w="5624"/>
      </w:tblGrid>
      <w:tr w14:paraId="2EDD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themeFill="background1"/>
            <w:vAlign w:val="center"/>
          </w:tcPr>
          <w:p w14:paraId="79F2E3F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698" w:type="dxa"/>
            <w:shd w:val="clear" w:color="auto" w:fill="FFFFFF" w:themeFill="background1"/>
            <w:vAlign w:val="center"/>
          </w:tcPr>
          <w:p w14:paraId="7620BB1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4" w:type="dxa"/>
            <w:shd w:val="clear" w:color="auto" w:fill="FFFFFF" w:themeFill="background1"/>
            <w:vAlign w:val="center"/>
          </w:tcPr>
          <w:p w14:paraId="60B585D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4775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014CD19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698" w:type="dxa"/>
            <w:shd w:val="clear" w:color="auto" w:fill="auto"/>
            <w:vAlign w:val="center"/>
          </w:tcPr>
          <w:p w14:paraId="7B11B2C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人员录用</w:t>
            </w:r>
          </w:p>
        </w:tc>
        <w:tc>
          <w:tcPr>
            <w:tcW w:w="5624" w:type="dxa"/>
            <w:shd w:val="clear" w:color="auto" w:fill="auto"/>
            <w:vAlign w:val="center"/>
          </w:tcPr>
          <w:p w14:paraId="710427C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通过访谈、检查录用人员时是否对人员提出要求以及是否对其进行各种审查和考核。</w:t>
            </w:r>
          </w:p>
        </w:tc>
      </w:tr>
      <w:tr w14:paraId="4B86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10A9E96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698" w:type="dxa"/>
            <w:shd w:val="clear" w:color="auto" w:fill="auto"/>
            <w:vAlign w:val="center"/>
          </w:tcPr>
          <w:p w14:paraId="616C1FC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人员离岗</w:t>
            </w:r>
          </w:p>
        </w:tc>
        <w:tc>
          <w:tcPr>
            <w:tcW w:w="5624" w:type="dxa"/>
            <w:shd w:val="clear" w:color="auto" w:fill="auto"/>
            <w:vAlign w:val="center"/>
          </w:tcPr>
          <w:p w14:paraId="0C0C362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通过访谈、检查人员离岗时是否按照一定的手续办理。</w:t>
            </w:r>
          </w:p>
        </w:tc>
      </w:tr>
      <w:tr w14:paraId="0DD1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0BDD88E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698" w:type="dxa"/>
            <w:shd w:val="clear" w:color="auto" w:fill="auto"/>
            <w:vAlign w:val="center"/>
          </w:tcPr>
          <w:p w14:paraId="4CDA777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安全意识教育和培训</w:t>
            </w:r>
          </w:p>
        </w:tc>
        <w:tc>
          <w:tcPr>
            <w:tcW w:w="5624" w:type="dxa"/>
            <w:shd w:val="clear" w:color="auto" w:fill="auto"/>
            <w:vAlign w:val="center"/>
          </w:tcPr>
          <w:p w14:paraId="7426C14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通过访谈、检查是否对人员进行安全方面的教育和培训。</w:t>
            </w:r>
          </w:p>
        </w:tc>
      </w:tr>
      <w:tr w14:paraId="286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28CA9525">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698" w:type="dxa"/>
            <w:shd w:val="clear" w:color="auto" w:fill="auto"/>
            <w:vAlign w:val="center"/>
          </w:tcPr>
          <w:p w14:paraId="7EC8640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外部人员访问管理</w:t>
            </w:r>
          </w:p>
        </w:tc>
        <w:tc>
          <w:tcPr>
            <w:tcW w:w="5624" w:type="dxa"/>
            <w:shd w:val="clear" w:color="auto" w:fill="auto"/>
            <w:vAlign w:val="center"/>
          </w:tcPr>
          <w:p w14:paraId="68B2A4E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通过访谈、检查对第三方人员访问（物理、逻辑）系统是否采取必要控制措施。</w:t>
            </w:r>
          </w:p>
        </w:tc>
      </w:tr>
    </w:tbl>
    <w:p w14:paraId="231FCE3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（9）安全建设管理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8"/>
        <w:gridCol w:w="1698"/>
        <w:gridCol w:w="5624"/>
      </w:tblGrid>
      <w:tr w14:paraId="173D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themeFill="background1"/>
            <w:vAlign w:val="center"/>
          </w:tcPr>
          <w:p w14:paraId="1636D9B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698" w:type="dxa"/>
            <w:shd w:val="clear" w:color="auto" w:fill="FFFFFF" w:themeFill="background1"/>
            <w:vAlign w:val="center"/>
          </w:tcPr>
          <w:p w14:paraId="514C059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4" w:type="dxa"/>
            <w:shd w:val="clear" w:color="auto" w:fill="FFFFFF" w:themeFill="background1"/>
            <w:vAlign w:val="center"/>
          </w:tcPr>
          <w:p w14:paraId="6C80760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166C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3FBA7E41">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698" w:type="dxa"/>
            <w:shd w:val="clear" w:color="auto" w:fill="auto"/>
            <w:vAlign w:val="center"/>
          </w:tcPr>
          <w:p w14:paraId="708A4D7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定级和备案</w:t>
            </w:r>
          </w:p>
        </w:tc>
        <w:tc>
          <w:tcPr>
            <w:tcW w:w="5624" w:type="dxa"/>
            <w:shd w:val="clear" w:color="auto" w:fill="auto"/>
            <w:vAlign w:val="center"/>
          </w:tcPr>
          <w:p w14:paraId="04CBB85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通过访谈、检查是否按照一定要求确定系统的安全等级。</w:t>
            </w:r>
          </w:p>
        </w:tc>
      </w:tr>
      <w:tr w14:paraId="30E5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5A03D38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698" w:type="dxa"/>
            <w:shd w:val="clear" w:color="auto" w:fill="auto"/>
            <w:vAlign w:val="center"/>
          </w:tcPr>
          <w:p w14:paraId="5FD77EB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安全方案设计</w:t>
            </w:r>
          </w:p>
        </w:tc>
        <w:tc>
          <w:tcPr>
            <w:tcW w:w="5624" w:type="dxa"/>
            <w:shd w:val="clear" w:color="auto" w:fill="auto"/>
            <w:vAlign w:val="center"/>
          </w:tcPr>
          <w:p w14:paraId="69244E8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通过访谈、检查整体的安全规划设计是否按照一定流程进行。</w:t>
            </w:r>
          </w:p>
        </w:tc>
      </w:tr>
      <w:tr w14:paraId="3F9C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6A7C063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698" w:type="dxa"/>
            <w:shd w:val="clear" w:color="auto" w:fill="auto"/>
            <w:vAlign w:val="center"/>
          </w:tcPr>
          <w:p w14:paraId="3306F79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产品采购和使用</w:t>
            </w:r>
          </w:p>
        </w:tc>
        <w:tc>
          <w:tcPr>
            <w:tcW w:w="5624" w:type="dxa"/>
            <w:shd w:val="clear" w:color="auto" w:fill="auto"/>
            <w:vAlign w:val="center"/>
          </w:tcPr>
          <w:p w14:paraId="2D5561F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通过访谈、检查是否按照一定的要求进行系统的产品采购。</w:t>
            </w:r>
          </w:p>
        </w:tc>
      </w:tr>
      <w:tr w14:paraId="3DC0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74BC950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698" w:type="dxa"/>
            <w:shd w:val="clear" w:color="auto" w:fill="auto"/>
            <w:vAlign w:val="center"/>
          </w:tcPr>
          <w:p w14:paraId="01AD7FE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自行软件开发</w:t>
            </w:r>
          </w:p>
        </w:tc>
        <w:tc>
          <w:tcPr>
            <w:tcW w:w="5624" w:type="dxa"/>
            <w:shd w:val="clear" w:color="auto" w:fill="auto"/>
            <w:vAlign w:val="center"/>
          </w:tcPr>
          <w:p w14:paraId="7810F62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通过访谈、检查自行开发的软件是否采取必要的措施保证开发过程的安全性。</w:t>
            </w:r>
          </w:p>
        </w:tc>
      </w:tr>
      <w:tr w14:paraId="2765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256E02E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698" w:type="dxa"/>
            <w:shd w:val="clear" w:color="auto" w:fill="auto"/>
            <w:vAlign w:val="center"/>
          </w:tcPr>
          <w:p w14:paraId="087160F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外包软件开发</w:t>
            </w:r>
          </w:p>
        </w:tc>
        <w:tc>
          <w:tcPr>
            <w:tcW w:w="5624" w:type="dxa"/>
            <w:shd w:val="clear" w:color="auto" w:fill="auto"/>
            <w:vAlign w:val="center"/>
          </w:tcPr>
          <w:p w14:paraId="00A0799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通过访谈、检查外包开发的软件是否采取必要的措施保证开发过程的安全性和日后的维护工作能够正常开展。</w:t>
            </w:r>
          </w:p>
        </w:tc>
      </w:tr>
      <w:tr w14:paraId="6580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6A609F4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1698" w:type="dxa"/>
            <w:shd w:val="clear" w:color="auto" w:fill="auto"/>
            <w:vAlign w:val="center"/>
          </w:tcPr>
          <w:p w14:paraId="17CB5E3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工程实施</w:t>
            </w:r>
          </w:p>
        </w:tc>
        <w:tc>
          <w:tcPr>
            <w:tcW w:w="5624" w:type="dxa"/>
            <w:shd w:val="clear" w:color="auto" w:fill="auto"/>
            <w:vAlign w:val="center"/>
          </w:tcPr>
          <w:p w14:paraId="6FE9557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通过访谈、检查建设的实施过程是否采取必要的措施使其在机构可控的范围内进行。</w:t>
            </w:r>
          </w:p>
        </w:tc>
      </w:tr>
      <w:tr w14:paraId="59ED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132071E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1698" w:type="dxa"/>
            <w:shd w:val="clear" w:color="auto" w:fill="auto"/>
            <w:vAlign w:val="center"/>
          </w:tcPr>
          <w:p w14:paraId="5EBDDBC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测试验收</w:t>
            </w:r>
          </w:p>
        </w:tc>
        <w:tc>
          <w:tcPr>
            <w:tcW w:w="5624" w:type="dxa"/>
            <w:shd w:val="clear" w:color="auto" w:fill="auto"/>
            <w:vAlign w:val="center"/>
          </w:tcPr>
          <w:p w14:paraId="34A5DBC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通过访谈、检查系统运行前是否对其进行测试验收工作。</w:t>
            </w:r>
          </w:p>
        </w:tc>
      </w:tr>
      <w:tr w14:paraId="1D4D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7E4CEA2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1698" w:type="dxa"/>
            <w:shd w:val="clear" w:color="auto" w:fill="auto"/>
            <w:vAlign w:val="center"/>
          </w:tcPr>
          <w:p w14:paraId="67BFA5F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系统交付</w:t>
            </w:r>
          </w:p>
        </w:tc>
        <w:tc>
          <w:tcPr>
            <w:tcW w:w="5624" w:type="dxa"/>
            <w:shd w:val="clear" w:color="auto" w:fill="auto"/>
            <w:vAlign w:val="center"/>
          </w:tcPr>
          <w:p w14:paraId="3E4FFA9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通过访谈、检查是否采取必要的措施对系统交付过程进行有效控制。</w:t>
            </w:r>
          </w:p>
        </w:tc>
      </w:tr>
      <w:tr w14:paraId="44AE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2E74B9B9">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1698" w:type="dxa"/>
            <w:shd w:val="clear" w:color="auto" w:fill="auto"/>
            <w:vAlign w:val="center"/>
          </w:tcPr>
          <w:p w14:paraId="4F05C05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等级测评</w:t>
            </w:r>
          </w:p>
        </w:tc>
        <w:tc>
          <w:tcPr>
            <w:tcW w:w="5624" w:type="dxa"/>
            <w:shd w:val="clear" w:color="auto" w:fill="auto"/>
            <w:vAlign w:val="center"/>
          </w:tcPr>
          <w:p w14:paraId="2AB0335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通过访谈、检查等级测评、整改情况。</w:t>
            </w:r>
          </w:p>
        </w:tc>
      </w:tr>
      <w:tr w14:paraId="0ED0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03C33EF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1698" w:type="dxa"/>
            <w:shd w:val="clear" w:color="auto" w:fill="auto"/>
            <w:vAlign w:val="center"/>
          </w:tcPr>
          <w:p w14:paraId="7452CD7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服务商选择</w:t>
            </w:r>
          </w:p>
        </w:tc>
        <w:tc>
          <w:tcPr>
            <w:tcW w:w="5624" w:type="dxa"/>
            <w:shd w:val="clear" w:color="auto" w:fill="auto"/>
            <w:vAlign w:val="center"/>
          </w:tcPr>
          <w:p w14:paraId="27A20CC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通过访谈、检查是否选择符合国家有关规定的安全服务单位进行相关的安全服务工作。</w:t>
            </w:r>
          </w:p>
        </w:tc>
      </w:tr>
    </w:tbl>
    <w:p w14:paraId="2289A8B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（10）安全运维管理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8"/>
        <w:gridCol w:w="1698"/>
        <w:gridCol w:w="5624"/>
      </w:tblGrid>
      <w:tr w14:paraId="1A7C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themeFill="background1"/>
            <w:vAlign w:val="center"/>
          </w:tcPr>
          <w:p w14:paraId="16192DC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698" w:type="dxa"/>
            <w:shd w:val="clear" w:color="auto" w:fill="FFFFFF" w:themeFill="background1"/>
            <w:vAlign w:val="center"/>
          </w:tcPr>
          <w:p w14:paraId="5EFDC37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工作单元名称</w:t>
            </w:r>
          </w:p>
        </w:tc>
        <w:tc>
          <w:tcPr>
            <w:tcW w:w="5624" w:type="dxa"/>
            <w:shd w:val="clear" w:color="auto" w:fill="FFFFFF" w:themeFill="background1"/>
            <w:vAlign w:val="center"/>
          </w:tcPr>
          <w:p w14:paraId="4841AC5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工作单元描述</w:t>
            </w:r>
          </w:p>
        </w:tc>
      </w:tr>
      <w:tr w14:paraId="6E75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2F0973A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698" w:type="dxa"/>
            <w:shd w:val="clear" w:color="auto" w:fill="auto"/>
            <w:vAlign w:val="center"/>
          </w:tcPr>
          <w:p w14:paraId="18A6363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环境管理</w:t>
            </w:r>
          </w:p>
        </w:tc>
        <w:tc>
          <w:tcPr>
            <w:tcW w:w="5624" w:type="dxa"/>
            <w:shd w:val="clear" w:color="auto" w:fill="auto"/>
            <w:vAlign w:val="center"/>
          </w:tcPr>
          <w:p w14:paraId="3B7ABB7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通过访谈、检查是否采取必要的措施对机房的出入控制以及办公环境的人员行为等方面进行安全管理。</w:t>
            </w:r>
          </w:p>
        </w:tc>
      </w:tr>
      <w:tr w14:paraId="282E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31B85E8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698" w:type="dxa"/>
            <w:shd w:val="clear" w:color="auto" w:fill="auto"/>
            <w:vAlign w:val="center"/>
          </w:tcPr>
          <w:p w14:paraId="091057EA">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资产管理</w:t>
            </w:r>
          </w:p>
        </w:tc>
        <w:tc>
          <w:tcPr>
            <w:tcW w:w="5624" w:type="dxa"/>
            <w:shd w:val="clear" w:color="auto" w:fill="auto"/>
            <w:vAlign w:val="center"/>
          </w:tcPr>
          <w:p w14:paraId="530955D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通过访谈、检查是否采取必要的措施对系统的资产进行分类标识管理。</w:t>
            </w:r>
          </w:p>
        </w:tc>
      </w:tr>
      <w:tr w14:paraId="05E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0BB7B55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698" w:type="dxa"/>
            <w:shd w:val="clear" w:color="auto" w:fill="auto"/>
            <w:vAlign w:val="center"/>
          </w:tcPr>
          <w:p w14:paraId="21B48EDE">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介质管理</w:t>
            </w:r>
          </w:p>
        </w:tc>
        <w:tc>
          <w:tcPr>
            <w:tcW w:w="5624" w:type="dxa"/>
            <w:shd w:val="clear" w:color="auto" w:fill="auto"/>
            <w:vAlign w:val="center"/>
          </w:tcPr>
          <w:p w14:paraId="26D9A055">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通过访谈、检查是否采取必要的措施对介质存放环境、使用、维护和销毁等方面进行管理。</w:t>
            </w:r>
          </w:p>
        </w:tc>
      </w:tr>
      <w:tr w14:paraId="0BF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4B49476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698" w:type="dxa"/>
            <w:shd w:val="clear" w:color="auto" w:fill="auto"/>
            <w:vAlign w:val="center"/>
          </w:tcPr>
          <w:p w14:paraId="5546237F">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设备维护管理</w:t>
            </w:r>
          </w:p>
        </w:tc>
        <w:tc>
          <w:tcPr>
            <w:tcW w:w="5624" w:type="dxa"/>
            <w:shd w:val="clear" w:color="auto" w:fill="auto"/>
            <w:vAlign w:val="center"/>
          </w:tcPr>
          <w:p w14:paraId="7ECCA57C">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通过访谈、检查是否采取必要的措施确保设备在使用、维护和销毁等过程安全。</w:t>
            </w:r>
          </w:p>
        </w:tc>
      </w:tr>
      <w:tr w14:paraId="330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65DE4EF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1698" w:type="dxa"/>
            <w:shd w:val="clear" w:color="auto" w:fill="auto"/>
            <w:vAlign w:val="center"/>
          </w:tcPr>
          <w:p w14:paraId="1C88BA3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漏洞和风险管理</w:t>
            </w:r>
          </w:p>
        </w:tc>
        <w:tc>
          <w:tcPr>
            <w:tcW w:w="5624" w:type="dxa"/>
            <w:shd w:val="clear" w:color="auto" w:fill="auto"/>
            <w:vAlign w:val="center"/>
          </w:tcPr>
          <w:p w14:paraId="445CB15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通过访谈、检查安全漏洞和隐患识别、处理情况，以及是否定期开展安全测评以及安全问题的应对措施。</w:t>
            </w:r>
          </w:p>
        </w:tc>
      </w:tr>
      <w:tr w14:paraId="3A89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4D2549D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1698" w:type="dxa"/>
            <w:shd w:val="clear" w:color="auto" w:fill="auto"/>
            <w:vAlign w:val="center"/>
          </w:tcPr>
          <w:p w14:paraId="2A8DF0F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网络和系统安全管理</w:t>
            </w:r>
          </w:p>
        </w:tc>
        <w:tc>
          <w:tcPr>
            <w:tcW w:w="5624" w:type="dxa"/>
            <w:shd w:val="clear" w:color="auto" w:fill="auto"/>
            <w:vAlign w:val="center"/>
          </w:tcPr>
          <w:p w14:paraId="2262920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系统的安全配置、系统账户、漏洞扫描和审计日志等方面进行有效的管理。是否采取必要的措施对网络的安全配置、网络用户权限和审计日志等方面进行有效的管理，确保网络安全运行。</w:t>
            </w:r>
          </w:p>
        </w:tc>
      </w:tr>
      <w:tr w14:paraId="0193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490F4D3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1698" w:type="dxa"/>
            <w:shd w:val="clear" w:color="auto" w:fill="auto"/>
            <w:vAlign w:val="center"/>
          </w:tcPr>
          <w:p w14:paraId="6B1175F1">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恶意代码防范管理</w:t>
            </w:r>
          </w:p>
        </w:tc>
        <w:tc>
          <w:tcPr>
            <w:tcW w:w="5624" w:type="dxa"/>
            <w:shd w:val="clear" w:color="auto" w:fill="auto"/>
            <w:vAlign w:val="center"/>
          </w:tcPr>
          <w:p w14:paraId="17E68548">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通过访谈、检查是否采取必要的措施对恶意代码进行有效管理，确保系统具有恶意代码防范能力。</w:t>
            </w:r>
          </w:p>
        </w:tc>
      </w:tr>
      <w:tr w14:paraId="2329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1E98EC75">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1698" w:type="dxa"/>
            <w:shd w:val="clear" w:color="auto" w:fill="auto"/>
            <w:vAlign w:val="center"/>
          </w:tcPr>
          <w:p w14:paraId="6BB4025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配置管理</w:t>
            </w:r>
          </w:p>
        </w:tc>
        <w:tc>
          <w:tcPr>
            <w:tcW w:w="5624" w:type="dxa"/>
            <w:shd w:val="clear" w:color="auto" w:fill="auto"/>
            <w:vAlign w:val="center"/>
          </w:tcPr>
          <w:p w14:paraId="73C9E382">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通过访谈、检查基本配置信息管理情况</w:t>
            </w:r>
          </w:p>
        </w:tc>
      </w:tr>
      <w:tr w14:paraId="0C66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18AB55B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1698" w:type="dxa"/>
            <w:shd w:val="clear" w:color="auto" w:fill="auto"/>
            <w:vAlign w:val="center"/>
          </w:tcPr>
          <w:p w14:paraId="0004047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密码管理</w:t>
            </w:r>
          </w:p>
        </w:tc>
        <w:tc>
          <w:tcPr>
            <w:tcW w:w="5624" w:type="dxa"/>
            <w:shd w:val="clear" w:color="auto" w:fill="auto"/>
            <w:vAlign w:val="center"/>
          </w:tcPr>
          <w:p w14:paraId="352CA29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通过访谈、检查是否能够确保信息系统中密码算法和密钥的使用符合国家密码管理规定。</w:t>
            </w:r>
          </w:p>
        </w:tc>
      </w:tr>
      <w:tr w14:paraId="6197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57F26FB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1698" w:type="dxa"/>
            <w:shd w:val="clear" w:color="auto" w:fill="auto"/>
            <w:vAlign w:val="center"/>
          </w:tcPr>
          <w:p w14:paraId="0AB58C34">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变更管理</w:t>
            </w:r>
          </w:p>
        </w:tc>
        <w:tc>
          <w:tcPr>
            <w:tcW w:w="5624" w:type="dxa"/>
            <w:shd w:val="clear" w:color="auto" w:fill="auto"/>
            <w:vAlign w:val="center"/>
          </w:tcPr>
          <w:p w14:paraId="71D05D4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通过访谈、检查是否采取必要的措施对系统发生的变更进行有效管理。</w:t>
            </w:r>
          </w:p>
        </w:tc>
      </w:tr>
      <w:tr w14:paraId="1261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13FF087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w:t>
            </w:r>
          </w:p>
        </w:tc>
        <w:tc>
          <w:tcPr>
            <w:tcW w:w="1698" w:type="dxa"/>
            <w:shd w:val="clear" w:color="auto" w:fill="auto"/>
            <w:vAlign w:val="center"/>
          </w:tcPr>
          <w:p w14:paraId="39F58737">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备份与恢复管理</w:t>
            </w:r>
          </w:p>
        </w:tc>
        <w:tc>
          <w:tcPr>
            <w:tcW w:w="5624" w:type="dxa"/>
            <w:shd w:val="clear" w:color="auto" w:fill="auto"/>
            <w:vAlign w:val="center"/>
          </w:tcPr>
          <w:p w14:paraId="1B5120B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通过访谈、检查是否采取必要的措施对重要业务信息，系统数据和系统软件进行备份，并确保必要时能够对这些数据有效地恢复。</w:t>
            </w:r>
          </w:p>
        </w:tc>
      </w:tr>
      <w:tr w14:paraId="4E98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343858D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w:t>
            </w:r>
          </w:p>
        </w:tc>
        <w:tc>
          <w:tcPr>
            <w:tcW w:w="1698" w:type="dxa"/>
            <w:shd w:val="clear" w:color="auto" w:fill="auto"/>
            <w:vAlign w:val="center"/>
          </w:tcPr>
          <w:p w14:paraId="70B43406">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安全事件处置</w:t>
            </w:r>
          </w:p>
        </w:tc>
        <w:tc>
          <w:tcPr>
            <w:tcW w:w="5624" w:type="dxa"/>
            <w:shd w:val="clear" w:color="auto" w:fill="auto"/>
            <w:vAlign w:val="center"/>
          </w:tcPr>
          <w:p w14:paraId="4C3CABD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通过访谈、检查是否采取必要的措施对安全事件进行等级划分和对安全事件的报告、处理过程进行有效的管理。</w:t>
            </w:r>
          </w:p>
        </w:tc>
      </w:tr>
      <w:tr w14:paraId="2A8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3BE1EA4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13</w:t>
            </w:r>
          </w:p>
        </w:tc>
        <w:tc>
          <w:tcPr>
            <w:tcW w:w="1698" w:type="dxa"/>
            <w:shd w:val="clear" w:color="auto" w:fill="auto"/>
            <w:vAlign w:val="center"/>
          </w:tcPr>
          <w:p w14:paraId="64E656AD">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应急预案管理</w:t>
            </w:r>
          </w:p>
        </w:tc>
        <w:tc>
          <w:tcPr>
            <w:tcW w:w="5624" w:type="dxa"/>
            <w:shd w:val="clear" w:color="auto" w:fill="auto"/>
            <w:vAlign w:val="center"/>
          </w:tcPr>
          <w:p w14:paraId="7398085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通过访谈、检查是否针对不同安全事件制定相应的应急预案，是否对应急预案展开培训、演练和审查等。</w:t>
            </w:r>
          </w:p>
        </w:tc>
      </w:tr>
      <w:tr w14:paraId="4308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shd w:val="clear" w:color="auto" w:fill="auto"/>
            <w:vAlign w:val="center"/>
          </w:tcPr>
          <w:p w14:paraId="5E706FC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w:t>
            </w:r>
          </w:p>
        </w:tc>
        <w:tc>
          <w:tcPr>
            <w:tcW w:w="1698" w:type="dxa"/>
            <w:shd w:val="clear" w:color="auto" w:fill="auto"/>
            <w:vAlign w:val="center"/>
          </w:tcPr>
          <w:p w14:paraId="1A7D0CD9">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外包运维管理</w:t>
            </w:r>
          </w:p>
        </w:tc>
        <w:tc>
          <w:tcPr>
            <w:tcW w:w="5624" w:type="dxa"/>
            <w:shd w:val="clear" w:color="auto" w:fill="auto"/>
            <w:vAlign w:val="center"/>
          </w:tcPr>
          <w:p w14:paraId="4A62955B">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通过访谈、检查外包运维服务商选择是否符合国家要求，外包运维保密、服务内容管理等。</w:t>
            </w:r>
          </w:p>
        </w:tc>
      </w:tr>
    </w:tbl>
    <w:p w14:paraId="3E841C5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（11）安全扩展要求</w:t>
      </w:r>
    </w:p>
    <w:p w14:paraId="6D413BF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按照所测评系统的具体情况选用云计算安全扩展要求、移动互联安全扩展要求、物联网安全扩展要求、工业控制系统安全扩展要求。</w:t>
      </w:r>
    </w:p>
    <w:p w14:paraId="7AA6F35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（12）验证测试相关要求</w:t>
      </w:r>
    </w:p>
    <w:p w14:paraId="71D2EEE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等级保护测评要求，测评过程中应配备必要的工具、仪器/设备对信息系统进行验证测试，采用的测评工具的生产商应为正规厂商，具有一定的研发和服务能力，能够对产品进行持续更新并提供质量和安全保障。</w:t>
      </w:r>
    </w:p>
    <w:p w14:paraId="4424161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验证测试内容包括但不限于以下内：</w:t>
      </w:r>
    </w:p>
    <w:p w14:paraId="376F77A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1.渗透测试</w:t>
      </w:r>
    </w:p>
    <w:p w14:paraId="4A4DDD3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9E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2D675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注入</w:t>
            </w:r>
          </w:p>
        </w:tc>
        <w:tc>
          <w:tcPr>
            <w:tcW w:w="4261" w:type="dxa"/>
          </w:tcPr>
          <w:p w14:paraId="70E364C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失效的身份认证</w:t>
            </w:r>
          </w:p>
        </w:tc>
      </w:tr>
      <w:tr w14:paraId="2C42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4EF646">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敏感信息泄露</w:t>
            </w:r>
          </w:p>
        </w:tc>
        <w:tc>
          <w:tcPr>
            <w:tcW w:w="4261" w:type="dxa"/>
          </w:tcPr>
          <w:p w14:paraId="344A94F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XML外部实体（XXE）</w:t>
            </w:r>
          </w:p>
        </w:tc>
      </w:tr>
      <w:tr w14:paraId="7A96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3F8A2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失效的访问控制</w:t>
            </w:r>
          </w:p>
        </w:tc>
        <w:tc>
          <w:tcPr>
            <w:tcW w:w="4261" w:type="dxa"/>
          </w:tcPr>
          <w:p w14:paraId="4FA4A68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安全配置错误</w:t>
            </w:r>
          </w:p>
        </w:tc>
      </w:tr>
      <w:tr w14:paraId="0569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62AD1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跨站脚本（XSS）</w:t>
            </w:r>
          </w:p>
        </w:tc>
        <w:tc>
          <w:tcPr>
            <w:tcW w:w="4261" w:type="dxa"/>
          </w:tcPr>
          <w:p w14:paraId="5996B34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不安全的反序列化</w:t>
            </w:r>
          </w:p>
        </w:tc>
      </w:tr>
      <w:tr w14:paraId="2C3E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32D13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使用含有已知漏洞的组件</w:t>
            </w:r>
          </w:p>
        </w:tc>
        <w:tc>
          <w:tcPr>
            <w:tcW w:w="4261" w:type="dxa"/>
          </w:tcPr>
          <w:p w14:paraId="04903B4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不足的日志记录和监控</w:t>
            </w:r>
          </w:p>
        </w:tc>
      </w:tr>
    </w:tbl>
    <w:p w14:paraId="6F09B1D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2．性能测试</w:t>
      </w:r>
    </w:p>
    <w:p w14:paraId="61F9A24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过模拟手段对网络（包括丢包、时延、带宽等）、软件系统（包括负载、响应）、负载下硬件占用（包含CPU、内存）等进行全面的测评评估验证系统的可靠性、可用性，通过对测试结果的分析，给出相应的整改建议。</w:t>
      </w:r>
    </w:p>
    <w:p w14:paraId="40D2ADB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3．漏洞扫描</w:t>
      </w:r>
    </w:p>
    <w:p w14:paraId="6D5E58D5">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据相关标准、规范要求对重要信息系统的安全漏洞进行测评。分析总结系统中存在的主要安全漏洞，指出系统中可能被利用的安全漏洞、系统配置错误等缺陷以及相应的安全加固意见、建议。</w:t>
      </w:r>
    </w:p>
    <w:p w14:paraId="5782D50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四：测评工作步骤</w:t>
      </w:r>
    </w:p>
    <w:p w14:paraId="5133F5F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等级保护测评工作流程，受委托测评机构实施的等级测评工作活动及流程与运营、使用单位的自查活动及流程会有所差异，初次等级测评和再次等级测评的工作活动及流程也不完全相同，而且针对不同等级信息系统实施的等级测评工作活动及流程也不相同。受委托测评机构对信息系统的初次等级测评可以分为四项活动：测评准备活动、方案编制活动、现场测评活动、分析与报告编制活动。投标方应对等级保护测评各阶段具体工作内容进行描述。</w:t>
      </w:r>
    </w:p>
    <w:p w14:paraId="516FDEF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1.准备活动阶段：对被测系统进行调研分析，明确测评对象、测评方法等工作。</w:t>
      </w:r>
    </w:p>
    <w:p w14:paraId="4BC8B81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2.方案编制阶段：制定信息安全等级保护测评项目计划书、测评实施方案，并提交委托方确认。</w:t>
      </w:r>
    </w:p>
    <w:p w14:paraId="6E4A28F5">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3.现场测评阶段：按照等级保护相关标准规范要求从访谈、检查、测试几方面进行测试评估并出具《整改意见》，并在整改过程中提供技术咨询服务。</w:t>
      </w:r>
    </w:p>
    <w:p w14:paraId="2E123578">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4.分析与报告编制：向委托方提交被测信息系统安全等级保护测评报告以及相应文档。</w:t>
      </w:r>
    </w:p>
    <w:p w14:paraId="0B99F6D1">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五：实施要求</w:t>
      </w:r>
    </w:p>
    <w:p w14:paraId="2C9E6893">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1．系统梳理</w:t>
      </w:r>
    </w:p>
    <w:p w14:paraId="541E8F2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协助完成待测信息系统梳理工作。</w:t>
      </w:r>
    </w:p>
    <w:p w14:paraId="33672E34">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2．初测</w:t>
      </w:r>
    </w:p>
    <w:p w14:paraId="1864429B">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对本项目所涉及信息系统进行现场测评，初次测评完成后提交初评的整改意见报告。</w:t>
      </w:r>
    </w:p>
    <w:p w14:paraId="595BF33F">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3．整改加固协助</w:t>
      </w:r>
    </w:p>
    <w:p w14:paraId="378FA7E8">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协助对测评过程中发现的安全问题进行技术整改加固工作，并进行整改后的回归测评。</w:t>
      </w:r>
    </w:p>
    <w:p w14:paraId="1D2937F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4．成果递交</w:t>
      </w:r>
    </w:p>
    <w:p w14:paraId="5154B98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整理测评结果，提交被测信息系统安全等级保护测评报告以及相应文档。</w:t>
      </w:r>
    </w:p>
    <w:p w14:paraId="38F3D28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六：项目管理与实施保障</w:t>
      </w:r>
    </w:p>
    <w:p w14:paraId="7CDF914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对项目进行科学严格的管理，通过系统计划、有序组织、科学指导和有效控制，促进项目全面顺利实施，供应商必须提供完整的项目管理方案，并符合以下要求：</w:t>
      </w:r>
    </w:p>
    <w:p w14:paraId="27D538A5">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1．供应商及其测评人员应当严格执行有关国家信息安全等级保护相关标准和有关规定，提供客观、公平、公正、有效的等级保护测评服务，并承担相应的法律责任。</w:t>
      </w:r>
    </w:p>
    <w:p w14:paraId="39EAE27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2．应具备能够保证其公正性、独立性的质量体系，确保测评活动不受任何可能影响测评结果的商业、财务、健康、环境等方面的压力。</w:t>
      </w:r>
    </w:p>
    <w:p w14:paraId="02FFB95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供应商在对被测评单位开展等级保护测评服务之前需与被测评单位签订保密协议，测评过程中向被测评单位借阅的文档资料应在测评工作结束后全部归还被测评单位，未经被测评单位允许，不得擅自复制、保留。</w:t>
      </w:r>
    </w:p>
    <w:p w14:paraId="27770A77">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供应商的岗位配置要至少配置项目经理（或总测评师）、技术负责人、质量负责人、保密安全员和档案管理员，其中项目经理（或总测评师）、技术负责人、质量负责人、保密安全员和档案管理员应独立配置，不能有兼任的情况。</w:t>
      </w:r>
    </w:p>
    <w:p w14:paraId="1CD93D5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5．测评人员要求</w:t>
      </w:r>
    </w:p>
    <w:p w14:paraId="55140A3A">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参与此次等级保护测评的供应商其测评人员应具备并符合以下要求：</w:t>
      </w:r>
    </w:p>
    <w:p w14:paraId="6824C48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（1）开展此次等级保护测评工作的人员仅限于中华人民共和国境内的中国公民，且无犯罪记录。</w:t>
      </w:r>
    </w:p>
    <w:p w14:paraId="2807C91D">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sz w:val="24"/>
          <w:szCs w:val="24"/>
          <w:u w:val="none"/>
          <w:lang w:val="en-US" w:eastAsia="zh-CN"/>
        </w:rPr>
      </w:pPr>
      <w:r>
        <w:rPr>
          <w:rFonts w:hint="eastAsia" w:ascii="仿宋" w:hAnsi="仿宋" w:eastAsia="仿宋" w:cs="仿宋"/>
          <w:color w:val="auto"/>
          <w:kern w:val="2"/>
          <w:sz w:val="24"/>
          <w:szCs w:val="24"/>
          <w:lang w:val="en-US" w:eastAsia="zh-CN" w:bidi="ar-SA"/>
        </w:rPr>
        <w:t>（2）测评项目组人员在对开展等级保护测评工作之前需签订保密协议。</w:t>
      </w:r>
    </w:p>
    <w:p w14:paraId="41B8A2EC">
      <w:pPr>
        <w:jc w:val="both"/>
        <w:rPr>
          <w:rFonts w:hint="eastAsia"/>
          <w:sz w:val="28"/>
          <w:szCs w:val="28"/>
          <w:u w:val="none"/>
          <w:lang w:val="en-US" w:eastAsia="zh-CN"/>
        </w:rPr>
      </w:pPr>
      <w:r>
        <w:rPr>
          <w:rFonts w:hint="eastAsia"/>
          <w:sz w:val="28"/>
          <w:szCs w:val="28"/>
          <w:u w:val="none"/>
          <w:lang w:val="en-US" w:eastAsia="zh-CN"/>
        </w:rPr>
        <w:t>五、其他要求</w:t>
      </w:r>
    </w:p>
    <w:p w14:paraId="4B48F6E3">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1.服务期限</w:t>
      </w:r>
      <w:r>
        <w:rPr>
          <w:rFonts w:hint="eastAsia" w:ascii="仿宋" w:hAnsi="仿宋" w:eastAsia="仿宋" w:cs="仿宋"/>
          <w:color w:val="auto"/>
          <w:kern w:val="2"/>
          <w:sz w:val="24"/>
          <w:szCs w:val="24"/>
          <w:lang w:val="en-US" w:eastAsia="zh-CN" w:bidi="ar-SA"/>
        </w:rPr>
        <w:t>：</w:t>
      </w:r>
      <w:r>
        <w:rPr>
          <w:rFonts w:ascii="仿宋_GB2312" w:hAnsi="仿宋_GB2312" w:eastAsia="仿宋_GB2312" w:cs="仿宋_GB2312"/>
          <w:color w:val="auto"/>
        </w:rPr>
        <w:t>自合同签订之日起至本项目结束</w:t>
      </w:r>
      <w:r>
        <w:rPr>
          <w:rFonts w:hint="eastAsia" w:ascii="仿宋" w:hAnsi="仿宋" w:eastAsia="仿宋" w:cs="仿宋"/>
          <w:color w:val="auto"/>
          <w:kern w:val="2"/>
          <w:sz w:val="24"/>
          <w:szCs w:val="24"/>
          <w:lang w:val="en-US" w:eastAsia="zh-CN" w:bidi="ar-SA"/>
        </w:rPr>
        <w:t>。</w:t>
      </w:r>
    </w:p>
    <w:p w14:paraId="157B4DB5">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2.服务地点：</w:t>
      </w:r>
      <w:r>
        <w:rPr>
          <w:rFonts w:hint="eastAsia" w:ascii="仿宋" w:hAnsi="仿宋" w:eastAsia="仿宋" w:cs="仿宋"/>
          <w:color w:val="auto"/>
          <w:kern w:val="2"/>
          <w:sz w:val="24"/>
          <w:szCs w:val="24"/>
          <w:lang w:val="en-US" w:eastAsia="zh-CN" w:bidi="ar-SA"/>
        </w:rPr>
        <w:t>采购人指定地点（四川省广元市利州区雪峰教育园区内）。</w:t>
      </w:r>
    </w:p>
    <w:p w14:paraId="747C740F">
      <w:pPr>
        <w:spacing w:line="360" w:lineRule="auto"/>
        <w:rPr>
          <w:rFonts w:hint="default"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3.付款方式：</w:t>
      </w:r>
      <w:r>
        <w:rPr>
          <w:rFonts w:hint="eastAsia" w:ascii="仿宋" w:hAnsi="仿宋" w:eastAsia="仿宋" w:cs="仿宋"/>
          <w:color w:val="auto"/>
          <w:kern w:val="2"/>
          <w:sz w:val="24"/>
          <w:szCs w:val="24"/>
          <w:lang w:val="en-US" w:eastAsia="zh-CN" w:bidi="ar-SA"/>
        </w:rPr>
        <w:t>服务完成后，经验收合格甲方向乙方支付合同总价款的  100% .</w:t>
      </w:r>
    </w:p>
    <w:p w14:paraId="4B774381">
      <w:pPr>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4.验收依据：</w:t>
      </w:r>
    </w:p>
    <w:p w14:paraId="7AAF0630">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本项目验收采购人将按照询价文件要求、成交人的响应文件、服务成果及承诺与本合同约定标准进行验收；其他未尽事宜参照《财政部关于进一步加强政府采购需求和履约验收管理的 指导意见》（财库〔2016〕205号）文件执行。</w:t>
      </w:r>
    </w:p>
    <w:p w14:paraId="143F807D">
      <w:pPr>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5.违约责任：</w:t>
      </w:r>
    </w:p>
    <w:p w14:paraId="4337200C">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②采购人和供应商双方必须遵守本合同并执行合同中的各项规定，保证合同的正常履行。③合同履行期间，若双方发生争议，可协商或由有关部门调解解决，协商或调解不成的，任意一方可向项目所在地有管辖权的人民法院提起诉讼维护其合法权益。</w:t>
      </w:r>
    </w:p>
    <w:p w14:paraId="2D50D302">
      <w:pPr>
        <w:pStyle w:val="2"/>
        <w:spacing w:before="156" w:after="156"/>
        <w:jc w:val="both"/>
        <w:rPr>
          <w:rFonts w:hint="eastAsia" w:ascii="仿宋" w:hAnsi="仿宋" w:eastAsia="仿宋" w:cs="仿宋"/>
          <w:b/>
          <w:color w:val="000000"/>
          <w:sz w:val="32"/>
          <w:szCs w:val="24"/>
        </w:rPr>
      </w:pPr>
      <w:bookmarkStart w:id="11" w:name="_Toc8142"/>
      <w:bookmarkStart w:id="12" w:name="_Toc24869"/>
      <w:bookmarkStart w:id="13" w:name="_Toc2359"/>
      <w:bookmarkStart w:id="14" w:name="_Toc3014"/>
      <w:bookmarkStart w:id="15" w:name="_Toc13009"/>
      <w:bookmarkStart w:id="16" w:name="_Toc25553"/>
      <w:bookmarkStart w:id="17" w:name="_Toc2957"/>
      <w:bookmarkStart w:id="18" w:name="_Toc5365_WPSOffice_Level1"/>
      <w:bookmarkStart w:id="19" w:name="_Toc13280"/>
      <w:bookmarkStart w:id="20" w:name="_Toc1567"/>
      <w:bookmarkStart w:id="21" w:name="_Toc18183"/>
      <w:bookmarkStart w:id="22" w:name="_Toc509"/>
      <w:bookmarkStart w:id="23" w:name="_Toc32677"/>
      <w:bookmarkStart w:id="24" w:name="_Toc10920"/>
      <w:bookmarkStart w:id="25" w:name="_Toc12183"/>
      <w:bookmarkStart w:id="26" w:name="_Toc28060"/>
      <w:bookmarkStart w:id="27" w:name="_Toc10747"/>
      <w:bookmarkStart w:id="28" w:name="_Toc21594"/>
      <w:bookmarkStart w:id="29" w:name="_Toc30497"/>
      <w:bookmarkStart w:id="30" w:name="_Toc13612"/>
      <w:bookmarkStart w:id="31" w:name="_Toc17307"/>
      <w:bookmarkStart w:id="32" w:name="_Toc32361"/>
      <w:bookmarkStart w:id="33" w:name="_Toc29482"/>
      <w:bookmarkStart w:id="34" w:name="_Toc10527"/>
      <w:r>
        <w:rPr>
          <w:rFonts w:hint="eastAsia" w:ascii="仿宋" w:hAnsi="仿宋" w:eastAsia="仿宋" w:cs="仿宋"/>
          <w:b/>
          <w:color w:val="000000"/>
          <w:sz w:val="32"/>
          <w:szCs w:val="24"/>
          <w:lang w:val="en-US" w:eastAsia="zh-CN"/>
        </w:rPr>
        <w:t>六、</w:t>
      </w:r>
      <w:r>
        <w:rPr>
          <w:rFonts w:hint="eastAsia" w:ascii="仿宋" w:hAnsi="仿宋" w:eastAsia="仿宋" w:cs="仿宋"/>
          <w:b/>
          <w:color w:val="000000"/>
          <w:sz w:val="32"/>
          <w:szCs w:val="24"/>
        </w:rPr>
        <w:t>报价一览表</w:t>
      </w:r>
      <w:bookmarkEnd w:id="11"/>
      <w:bookmarkEnd w:id="12"/>
      <w:bookmarkEnd w:id="13"/>
      <w:bookmarkEnd w:id="14"/>
      <w:bookmarkEnd w:id="15"/>
      <w:bookmarkEnd w:id="16"/>
      <w:bookmarkEnd w:id="17"/>
      <w:bookmarkEnd w:id="18"/>
      <w:bookmarkEnd w:id="19"/>
      <w:r>
        <w:rPr>
          <w:rFonts w:hint="eastAsia" w:ascii="仿宋" w:hAnsi="仿宋" w:eastAsia="仿宋" w:cs="仿宋"/>
          <w:b/>
          <w:color w:val="000000"/>
          <w:sz w:val="32"/>
          <w:szCs w:val="24"/>
        </w:rPr>
        <w:t>(第一轮）</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90C5C81">
      <w:pPr>
        <w:ind w:firstLine="480"/>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7465A99">
      <w:pPr>
        <w:ind w:firstLine="480"/>
        <w:rPr>
          <w:rFonts w:hint="eastAsia" w:ascii="仿宋" w:hAnsi="仿宋" w:eastAsia="仿宋" w:cs="仿宋"/>
          <w:sz w:val="24"/>
          <w:szCs w:val="24"/>
        </w:rPr>
      </w:pPr>
      <w:r>
        <w:rPr>
          <w:rFonts w:hint="eastAsia" w:ascii="仿宋" w:hAnsi="仿宋" w:eastAsia="仿宋" w:cs="仿宋"/>
          <w:sz w:val="24"/>
          <w:szCs w:val="24"/>
        </w:rPr>
        <w:t>项目名称：</w:t>
      </w:r>
    </w:p>
    <w:p w14:paraId="438F2833">
      <w:pPr>
        <w:rPr>
          <w:rFonts w:hint="eastAsia" w:ascii="仿宋" w:hAnsi="仿宋" w:eastAsia="仿宋" w:cs="仿宋"/>
          <w:color w:val="000000"/>
          <w:sz w:val="24"/>
          <w:szCs w:val="24"/>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325"/>
        <w:gridCol w:w="3033"/>
        <w:gridCol w:w="1916"/>
      </w:tblGrid>
      <w:tr w14:paraId="469E35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675" w:type="dxa"/>
            <w:vAlign w:val="center"/>
          </w:tcPr>
          <w:p w14:paraId="5509452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25" w:type="dxa"/>
            <w:vAlign w:val="center"/>
          </w:tcPr>
          <w:p w14:paraId="699479BB">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3033" w:type="dxa"/>
            <w:vAlign w:val="center"/>
          </w:tcPr>
          <w:p w14:paraId="3D58615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报价金额</w:t>
            </w:r>
          </w:p>
        </w:tc>
        <w:tc>
          <w:tcPr>
            <w:tcW w:w="1916" w:type="dxa"/>
            <w:vAlign w:val="center"/>
          </w:tcPr>
          <w:p w14:paraId="1963066B">
            <w:pPr>
              <w:spacing w:line="400" w:lineRule="exact"/>
              <w:ind w:firstLine="490"/>
              <w:jc w:val="center"/>
              <w:rPr>
                <w:rFonts w:hint="eastAsia" w:ascii="仿宋" w:hAnsi="仿宋" w:eastAsia="仿宋" w:cs="仿宋"/>
                <w:sz w:val="24"/>
                <w:szCs w:val="24"/>
              </w:rPr>
            </w:pPr>
            <w:r>
              <w:rPr>
                <w:rFonts w:hint="eastAsia" w:ascii="仿宋" w:hAnsi="仿宋" w:eastAsia="仿宋" w:cs="仿宋"/>
                <w:sz w:val="24"/>
                <w:szCs w:val="24"/>
              </w:rPr>
              <w:t>备注</w:t>
            </w:r>
          </w:p>
        </w:tc>
      </w:tr>
      <w:tr w14:paraId="32E2E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675" w:type="dxa"/>
          </w:tcPr>
          <w:p w14:paraId="571985C5">
            <w:pPr>
              <w:spacing w:before="156" w:line="400" w:lineRule="exact"/>
              <w:ind w:firstLine="489"/>
              <w:jc w:val="center"/>
              <w:rPr>
                <w:rFonts w:hint="eastAsia" w:ascii="仿宋" w:hAnsi="仿宋" w:eastAsia="仿宋" w:cs="仿宋"/>
                <w:sz w:val="24"/>
                <w:szCs w:val="24"/>
              </w:rPr>
            </w:pPr>
          </w:p>
        </w:tc>
        <w:tc>
          <w:tcPr>
            <w:tcW w:w="2325" w:type="dxa"/>
            <w:vAlign w:val="center"/>
          </w:tcPr>
          <w:p w14:paraId="08662979">
            <w:pPr>
              <w:spacing w:before="156" w:line="400" w:lineRule="exact"/>
              <w:ind w:firstLine="489"/>
              <w:jc w:val="center"/>
              <w:rPr>
                <w:rFonts w:hint="eastAsia" w:ascii="仿宋" w:hAnsi="仿宋" w:eastAsia="仿宋" w:cs="仿宋"/>
                <w:sz w:val="24"/>
                <w:szCs w:val="24"/>
              </w:rPr>
            </w:pPr>
          </w:p>
        </w:tc>
        <w:tc>
          <w:tcPr>
            <w:tcW w:w="3033" w:type="dxa"/>
            <w:vAlign w:val="center"/>
          </w:tcPr>
          <w:p w14:paraId="68D28CED">
            <w:pPr>
              <w:spacing w:before="156" w:line="400" w:lineRule="exact"/>
              <w:jc w:val="both"/>
              <w:rPr>
                <w:rFonts w:hint="eastAsia" w:ascii="仿宋" w:hAnsi="仿宋" w:eastAsia="仿宋" w:cs="仿宋"/>
                <w:sz w:val="24"/>
                <w:szCs w:val="24"/>
              </w:rPr>
            </w:pPr>
            <w:r>
              <w:rPr>
                <w:rFonts w:hint="eastAsia" w:ascii="仿宋" w:hAnsi="仿宋" w:eastAsia="仿宋" w:cs="仿宋"/>
                <w:sz w:val="24"/>
                <w:szCs w:val="24"/>
              </w:rPr>
              <w:t>小写：</w:t>
            </w:r>
          </w:p>
          <w:p w14:paraId="6BF728DD">
            <w:pPr>
              <w:spacing w:before="156" w:line="400" w:lineRule="exact"/>
              <w:jc w:val="both"/>
              <w:rPr>
                <w:rFonts w:hint="eastAsia" w:ascii="仿宋" w:hAnsi="仿宋" w:eastAsia="仿宋" w:cs="仿宋"/>
                <w:sz w:val="24"/>
                <w:szCs w:val="24"/>
              </w:rPr>
            </w:pPr>
            <w:r>
              <w:rPr>
                <w:rFonts w:hint="eastAsia" w:ascii="仿宋" w:hAnsi="仿宋" w:eastAsia="仿宋" w:cs="仿宋"/>
                <w:sz w:val="24"/>
                <w:szCs w:val="24"/>
              </w:rPr>
              <w:t>大写：</w:t>
            </w:r>
          </w:p>
        </w:tc>
        <w:tc>
          <w:tcPr>
            <w:tcW w:w="1916" w:type="dxa"/>
            <w:vAlign w:val="center"/>
          </w:tcPr>
          <w:p w14:paraId="4A8AA283">
            <w:pPr>
              <w:spacing w:before="156" w:line="400" w:lineRule="exact"/>
              <w:ind w:firstLine="489"/>
              <w:jc w:val="center"/>
              <w:rPr>
                <w:rFonts w:hint="eastAsia" w:ascii="仿宋" w:hAnsi="仿宋" w:eastAsia="仿宋" w:cs="仿宋"/>
                <w:sz w:val="24"/>
                <w:szCs w:val="24"/>
              </w:rPr>
            </w:pPr>
          </w:p>
        </w:tc>
      </w:tr>
      <w:tr w14:paraId="4082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7949" w:type="dxa"/>
            <w:gridSpan w:val="4"/>
          </w:tcPr>
          <w:p w14:paraId="6E294708">
            <w:pPr>
              <w:spacing w:before="156" w:line="400" w:lineRule="exact"/>
              <w:ind w:firstLine="489"/>
              <w:rPr>
                <w:rFonts w:hint="eastAsia" w:ascii="仿宋" w:hAnsi="仿宋" w:eastAsia="仿宋" w:cs="仿宋"/>
                <w:sz w:val="24"/>
                <w:szCs w:val="24"/>
              </w:rPr>
            </w:pPr>
            <w:r>
              <w:rPr>
                <w:rFonts w:hint="eastAsia" w:ascii="仿宋" w:hAnsi="仿宋" w:eastAsia="仿宋" w:cs="仿宋"/>
                <w:sz w:val="24"/>
                <w:szCs w:val="24"/>
              </w:rPr>
              <w:t>服务期限：</w:t>
            </w:r>
          </w:p>
        </w:tc>
      </w:tr>
    </w:tbl>
    <w:p w14:paraId="068DD7F6">
      <w:pPr>
        <w:spacing w:after="0" w:line="400" w:lineRule="exact"/>
        <w:ind w:firstLine="482" w:firstLineChars="200"/>
        <w:jc w:val="both"/>
        <w:rPr>
          <w:rFonts w:hint="eastAsia" w:ascii="仿宋" w:hAnsi="仿宋" w:eastAsia="仿宋" w:cs="仿宋"/>
          <w:b/>
          <w:color w:val="000000"/>
          <w:sz w:val="24"/>
          <w:szCs w:val="24"/>
        </w:rPr>
      </w:pPr>
    </w:p>
    <w:p w14:paraId="5EF88041">
      <w:pPr>
        <w:pStyle w:val="13"/>
        <w:numPr>
          <w:ilvl w:val="1"/>
          <w:numId w:val="0"/>
        </w:numPr>
        <w:spacing w:line="520" w:lineRule="exac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注：1.报价应是最终用户验收合格后的总价，包含</w:t>
      </w:r>
      <w:r>
        <w:rPr>
          <w:rFonts w:hint="eastAsia" w:ascii="仿宋" w:hAnsi="仿宋" w:eastAsia="仿宋" w:cs="仿宋"/>
          <w:color w:val="000000"/>
          <w:sz w:val="24"/>
          <w:szCs w:val="24"/>
          <w:lang w:val="en-US" w:eastAsia="zh-CN"/>
        </w:rPr>
        <w:t>服务内容、设备租赁、</w:t>
      </w:r>
      <w:r>
        <w:rPr>
          <w:rFonts w:hint="eastAsia" w:ascii="仿宋" w:hAnsi="仿宋" w:eastAsia="仿宋" w:cs="仿宋"/>
          <w:color w:val="000000"/>
          <w:sz w:val="24"/>
          <w:szCs w:val="24"/>
        </w:rPr>
        <w:t>人工劳务、保险、税费、利润等完成本项目所需的一切费用，采购人无须另向成交供应商支付其他任何费用。</w:t>
      </w:r>
    </w:p>
    <w:p w14:paraId="382622BB">
      <w:pPr>
        <w:spacing w:after="0" w:line="400" w:lineRule="exact"/>
        <w:ind w:firstLine="482"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2.“报价一览表”需由法定代表人或授权代表签字并盖供应商印章。</w:t>
      </w:r>
    </w:p>
    <w:p w14:paraId="438AF8F6">
      <w:pPr>
        <w:spacing w:after="0" w:line="400" w:lineRule="exact"/>
        <w:ind w:firstLine="482" w:firstLineChars="200"/>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3.最后报价表在供应商通过资格审查后现场递交，供应商填写后需用密封袋（自备）单独密封完整。</w:t>
      </w:r>
    </w:p>
    <w:p w14:paraId="65794A61">
      <w:pPr>
        <w:spacing w:after="0" w:line="480" w:lineRule="auto"/>
        <w:jc w:val="both"/>
        <w:rPr>
          <w:rFonts w:hint="eastAsia" w:ascii="仿宋" w:hAnsi="仿宋" w:eastAsia="仿宋" w:cs="仿宋"/>
          <w:bCs/>
          <w:color w:val="000000"/>
          <w:sz w:val="24"/>
          <w:szCs w:val="24"/>
        </w:rPr>
      </w:pPr>
    </w:p>
    <w:p w14:paraId="38634AE4">
      <w:pPr>
        <w:spacing w:after="0" w:line="480" w:lineRule="auto"/>
        <w:ind w:firstLine="120" w:firstLineChars="5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供应商名称：（盖单位公章）</w:t>
      </w:r>
    </w:p>
    <w:p w14:paraId="468F19EB">
      <w:pPr>
        <w:spacing w:after="0" w:line="480" w:lineRule="auto"/>
        <w:ind w:firstLine="120" w:firstLineChars="5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法定代表人或授权代表（签字或加盖个人名章）：</w:t>
      </w:r>
    </w:p>
    <w:p w14:paraId="36E72DDA">
      <w:pPr>
        <w:spacing w:after="0" w:line="480" w:lineRule="auto"/>
        <w:ind w:firstLine="120" w:firstLineChars="5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w:t>
      </w:r>
    </w:p>
    <w:p w14:paraId="6F67C66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default" w:ascii="仿宋" w:hAnsi="仿宋" w:eastAsia="仿宋" w:cs="仿宋"/>
          <w:color w:val="auto"/>
          <w:kern w:val="2"/>
          <w:sz w:val="24"/>
          <w:szCs w:val="24"/>
          <w:lang w:val="en-US" w:eastAsia="zh-CN" w:bidi="ar-SA"/>
        </w:rPr>
      </w:pPr>
    </w:p>
    <w:p w14:paraId="504E2682">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default" w:ascii="仿宋" w:hAnsi="仿宋" w:eastAsia="仿宋" w:cs="仿宋"/>
          <w:color w:val="auto"/>
          <w:kern w:val="2"/>
          <w:sz w:val="24"/>
          <w:szCs w:val="24"/>
          <w:lang w:val="en-US" w:eastAsia="zh-CN" w:bidi="ar-SA"/>
        </w:rPr>
      </w:pPr>
    </w:p>
    <w:p w14:paraId="5C4F9C06">
      <w:pPr>
        <w:ind w:firstLine="560" w:firstLineChars="200"/>
        <w:jc w:val="both"/>
        <w:rPr>
          <w:rFonts w:hint="eastAsia"/>
          <w:sz w:val="28"/>
          <w:szCs w:val="28"/>
          <w:u w:val="none"/>
          <w:lang w:val="en-US" w:eastAsia="zh-CN"/>
        </w:rPr>
      </w:pPr>
      <w:r>
        <w:rPr>
          <w:rFonts w:hint="eastAsia"/>
          <w:sz w:val="28"/>
          <w:szCs w:val="28"/>
          <w:u w:val="none"/>
          <w:lang w:val="en-US" w:eastAsia="zh-CN"/>
        </w:rPr>
        <w:t>七、服务承诺</w:t>
      </w:r>
    </w:p>
    <w:p w14:paraId="2F5D6C15">
      <w:pPr>
        <w:spacing w:line="520" w:lineRule="exact"/>
        <w:jc w:val="center"/>
        <w:rPr>
          <w:rFonts w:hint="eastAsia" w:ascii="仿宋" w:hAnsi="仿宋" w:eastAsia="仿宋" w:cs="仿宋"/>
          <w:b/>
          <w:color w:val="auto"/>
          <w:sz w:val="30"/>
          <w:szCs w:val="30"/>
          <w:lang w:val="en-US" w:eastAsia="zh-CN"/>
        </w:rPr>
      </w:pPr>
      <w:r>
        <w:rPr>
          <w:rFonts w:hint="eastAsia"/>
          <w:sz w:val="28"/>
          <w:szCs w:val="28"/>
          <w:u w:val="none"/>
          <w:lang w:val="en-US" w:eastAsia="zh-CN"/>
        </w:rPr>
        <w:t xml:space="preserve"> </w:t>
      </w:r>
      <w:r>
        <w:rPr>
          <w:rFonts w:hint="eastAsia"/>
          <w:sz w:val="30"/>
          <w:szCs w:val="30"/>
          <w:u w:val="none"/>
          <w:lang w:val="en-US" w:eastAsia="zh-CN"/>
        </w:rPr>
        <w:t xml:space="preserve">  对采购需求“</w:t>
      </w:r>
      <w:r>
        <w:rPr>
          <w:rFonts w:hint="eastAsia" w:ascii="仿宋" w:hAnsi="仿宋" w:eastAsia="仿宋" w:cs="仿宋"/>
          <w:b/>
          <w:bCs/>
          <w:color w:val="auto"/>
          <w:sz w:val="30"/>
          <w:szCs w:val="30"/>
        </w:rPr>
        <w:t>采购项目技术及其他商务要求</w:t>
      </w:r>
      <w:r>
        <w:rPr>
          <w:rFonts w:hint="eastAsia"/>
          <w:sz w:val="30"/>
          <w:szCs w:val="30"/>
          <w:u w:val="none"/>
          <w:lang w:val="en-US" w:eastAsia="zh-CN"/>
        </w:rPr>
        <w:t>”和“</w:t>
      </w:r>
      <w:r>
        <w:rPr>
          <w:rFonts w:hint="eastAsia" w:ascii="仿宋" w:hAnsi="仿宋" w:eastAsia="仿宋" w:cs="仿宋"/>
          <w:b/>
          <w:color w:val="auto"/>
          <w:sz w:val="30"/>
          <w:szCs w:val="30"/>
          <w:lang w:val="en-US" w:eastAsia="zh-CN"/>
        </w:rPr>
        <w:t>商务要求</w:t>
      </w:r>
    </w:p>
    <w:p w14:paraId="58A7CE70">
      <w:pPr>
        <w:jc w:val="both"/>
        <w:rPr>
          <w:rFonts w:hint="default"/>
          <w:sz w:val="30"/>
          <w:szCs w:val="30"/>
          <w:u w:val="none"/>
          <w:lang w:val="en-US" w:eastAsia="zh-CN"/>
        </w:rPr>
      </w:pPr>
      <w:r>
        <w:rPr>
          <w:rFonts w:hint="eastAsia"/>
          <w:sz w:val="30"/>
          <w:szCs w:val="30"/>
          <w:u w:val="none"/>
          <w:lang w:val="en-US" w:eastAsia="zh-CN"/>
        </w:rPr>
        <w:t>”作出应答承诺，承诺自拟。</w:t>
      </w:r>
    </w:p>
    <w:p w14:paraId="7E8BA6F4">
      <w:pPr>
        <w:ind w:firstLine="480"/>
        <w:jc w:val="both"/>
        <w:rPr>
          <w:rFonts w:hint="eastAsia"/>
          <w:sz w:val="28"/>
          <w:szCs w:val="28"/>
          <w:u w:val="none"/>
          <w:lang w:val="en-US" w:eastAsia="zh-CN"/>
        </w:rPr>
      </w:pPr>
    </w:p>
    <w:p w14:paraId="2F5EB985">
      <w:pPr>
        <w:ind w:firstLine="480"/>
        <w:jc w:val="both"/>
        <w:rPr>
          <w:rFonts w:hint="eastAsia"/>
          <w:sz w:val="28"/>
          <w:szCs w:val="28"/>
          <w:u w:val="none"/>
          <w:lang w:val="en-US" w:eastAsia="zh-CN"/>
        </w:rPr>
      </w:pPr>
    </w:p>
    <w:p w14:paraId="001D24AF">
      <w:pPr>
        <w:ind w:firstLine="480"/>
        <w:jc w:val="both"/>
        <w:rPr>
          <w:rFonts w:hint="eastAsia"/>
          <w:sz w:val="28"/>
          <w:szCs w:val="28"/>
          <w:u w:val="none"/>
          <w:lang w:val="en-US" w:eastAsia="zh-CN"/>
        </w:rPr>
      </w:pPr>
    </w:p>
    <w:p w14:paraId="764C49FF">
      <w:pPr>
        <w:ind w:firstLine="480"/>
        <w:jc w:val="both"/>
        <w:rPr>
          <w:rFonts w:hint="eastAsia"/>
          <w:sz w:val="28"/>
          <w:szCs w:val="28"/>
          <w:u w:val="none"/>
          <w:lang w:val="en-US" w:eastAsia="zh-CN"/>
        </w:rPr>
      </w:pPr>
    </w:p>
    <w:p w14:paraId="64F3780F">
      <w:pPr>
        <w:ind w:firstLine="480"/>
        <w:jc w:val="both"/>
        <w:rPr>
          <w:rFonts w:hint="eastAsia"/>
          <w:sz w:val="28"/>
          <w:szCs w:val="28"/>
          <w:u w:val="none"/>
          <w:lang w:val="en-US" w:eastAsia="zh-CN"/>
        </w:rPr>
      </w:pPr>
    </w:p>
    <w:p w14:paraId="3DB0553B">
      <w:pPr>
        <w:ind w:firstLine="480"/>
        <w:jc w:val="both"/>
        <w:rPr>
          <w:rFonts w:hint="eastAsia"/>
          <w:sz w:val="28"/>
          <w:szCs w:val="28"/>
          <w:u w:val="none"/>
          <w:lang w:val="en-US" w:eastAsia="zh-CN"/>
        </w:rPr>
      </w:pPr>
    </w:p>
    <w:p w14:paraId="3C28B2F2">
      <w:pPr>
        <w:ind w:firstLine="480"/>
        <w:jc w:val="both"/>
        <w:rPr>
          <w:rFonts w:hint="eastAsia"/>
          <w:sz w:val="28"/>
          <w:szCs w:val="28"/>
          <w:u w:val="none"/>
          <w:lang w:val="en-US" w:eastAsia="zh-CN"/>
        </w:rPr>
      </w:pPr>
    </w:p>
    <w:p w14:paraId="22601798">
      <w:pPr>
        <w:ind w:firstLine="480"/>
        <w:jc w:val="both"/>
        <w:rPr>
          <w:rFonts w:hint="eastAsia"/>
          <w:sz w:val="28"/>
          <w:szCs w:val="28"/>
          <w:u w:val="none"/>
          <w:lang w:val="en-US" w:eastAsia="zh-CN"/>
        </w:rPr>
      </w:pPr>
    </w:p>
    <w:p w14:paraId="0AB5D18C">
      <w:pPr>
        <w:pStyle w:val="11"/>
        <w:numPr>
          <w:ilvl w:val="4"/>
          <w:numId w:val="0"/>
        </w:numPr>
        <w:rPr>
          <w:rFonts w:hint="default"/>
          <w:lang w:val="en-US" w:eastAsia="zh-CN"/>
        </w:rPr>
      </w:pPr>
    </w:p>
    <w:p w14:paraId="69310565">
      <w:pPr>
        <w:ind w:firstLine="480"/>
        <w:jc w:val="both"/>
        <w:rPr>
          <w:rFonts w:hint="default"/>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3"/>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B091A"/>
    <w:rsid w:val="2C1B4A4B"/>
    <w:rsid w:val="38B06556"/>
    <w:rsid w:val="390364D5"/>
    <w:rsid w:val="43650F41"/>
    <w:rsid w:val="43F74A9E"/>
    <w:rsid w:val="4FE5643D"/>
    <w:rsid w:val="52CF1E31"/>
    <w:rsid w:val="5D3C6BEF"/>
    <w:rsid w:val="665A00E6"/>
    <w:rsid w:val="6FD150DF"/>
    <w:rsid w:val="732F725F"/>
    <w:rsid w:val="7E46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首行缩进两字符"/>
    <w:basedOn w:val="1"/>
    <w:next w:val="8"/>
    <w:autoRedefine/>
    <w:qFormat/>
    <w:uiPriority w:val="0"/>
    <w:pPr>
      <w:spacing w:line="360" w:lineRule="auto"/>
      <w:ind w:firstLine="200" w:firstLineChars="200"/>
    </w:pPr>
  </w:style>
  <w:style w:type="paragraph" w:customStyle="1" w:styleId="8">
    <w:name w:val="Default"/>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9">
    <w:name w:val="论证正文"/>
    <w:basedOn w:val="1"/>
    <w:next w:val="10"/>
    <w:autoRedefine/>
    <w:qFormat/>
    <w:uiPriority w:val="0"/>
    <w:pPr>
      <w:spacing w:line="360" w:lineRule="auto"/>
      <w:ind w:firstLine="1044" w:firstLineChars="200"/>
    </w:pPr>
    <w:rPr>
      <w:rFonts w:eastAsia="仿宋_GB2312"/>
      <w:kern w:val="0"/>
      <w:sz w:val="32"/>
      <w:szCs w:val="20"/>
    </w:rPr>
  </w:style>
  <w:style w:type="paragraph" w:customStyle="1" w:styleId="10">
    <w:name w:val="无间隔1"/>
    <w:next w:val="7"/>
    <w:autoRedefine/>
    <w:qFormat/>
    <w:uiPriority w:val="0"/>
    <w:pPr>
      <w:widowControl w:val="0"/>
      <w:ind w:firstLine="2560"/>
      <w:jc w:val="both"/>
    </w:pPr>
    <w:rPr>
      <w:rFonts w:ascii="Calibri" w:hAnsi="Calibri" w:eastAsia="宋体" w:cs="Times New Roman"/>
      <w:lang w:val="en-US" w:eastAsia="zh-CN" w:bidi="ar-SA"/>
    </w:r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
    <w:name w:val="15、“一、”二级标题"/>
    <w:basedOn w:val="1"/>
    <w:autoRedefine/>
    <w:qFormat/>
    <w:uiPriority w:val="0"/>
    <w:pPr>
      <w:numPr>
        <w:ilvl w:val="1"/>
        <w:numId w:val="2"/>
      </w:numPr>
      <w:tabs>
        <w:tab w:val="left" w:pos="0"/>
      </w:tabs>
      <w:wordWrap w:val="0"/>
      <w:topLinePunct/>
      <w:ind w:firstLine="803" w:firstLineChars="20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6759</Words>
  <Characters>6931</Characters>
  <Lines>0</Lines>
  <Paragraphs>0</Paragraphs>
  <TotalTime>4</TotalTime>
  <ScaleCrop>false</ScaleCrop>
  <LinksUpToDate>false</LinksUpToDate>
  <CharactersWithSpaces>6955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2025-12-09T00:06:00Z</dcterms:created>
  <dc:creator>ThinkPad</dc:creator>
  <cp:lastModifiedBy>尹强</cp:lastModifiedBy>
  <dcterms:modified xsi:type="dcterms:W3CDTF">2025-12-10T08:27:00Z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eyJoZGlkIjoiZWVjN2RjYjMzZDkzNjM0MjFiMmY5ZGE3MDQ5YzJlNjYiLCJ1c2VySWQiOiIyNjIwNzkxNSJ9</vt:lpwstr>
  </property>
  <property fmtid="{D5CDD505-2E9C-101B-9397-08002B2CF9AE}" pid="4" name="ICV">
    <vt:lpwstr>E1A55A3C45E248ADBAE4661B60EDD774_12</vt:lpwstr>
  </property>
</Properties>
</file>